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body>
    <w:p w14:paraId="2C06B7E9" w14:textId="77777777" w:rsidR="00A75D6D" w:rsidRPr="00117F13" w:rsidRDefault="00AE152E" w:rsidP="00117F13">
      <w:pPr>
        <w:pStyle w:val="Heading1"/>
      </w:pPr>
      <w:r w:rsidRPr="00117F13">
        <w:t>NPDN 2025 Annual Report</w:t>
      </w:r>
    </w:p>
    <w:p w14:paraId="2C06B7EA" w14:textId="77777777" w:rsidR="00A75D6D" w:rsidRDefault="00AE152E">
      <w:pPr>
        <w:pStyle w:val="Heading2"/>
      </w:pPr>
      <w:r>
        <w:t xml:space="preserve">Overview </w:t>
      </w:r>
    </w:p>
    <w:p w14:paraId="2C06B7EB" w14:textId="1625EB85"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NPDN is a </w:t>
      </w:r>
      <w:r w:rsidR="00484E72" w:rsidRPr="00484E72">
        <w:rPr>
          <w:rFonts w:ascii="Calibri" w:eastAsia="Calibri" w:hAnsi="Calibri" w:cs="Calibri"/>
          <w:color w:val="000000"/>
          <w:sz w:val="24"/>
          <w:szCs w:val="24"/>
        </w:rPr>
        <w:t xml:space="preserve">network of plant health diagnostic professionals and laboratories working together to </w:t>
      </w:r>
      <w:r w:rsidR="007C2DF6">
        <w:rPr>
          <w:rFonts w:ascii="Calibri" w:eastAsia="Calibri" w:hAnsi="Calibri" w:cs="Calibri"/>
          <w:color w:val="000000"/>
          <w:sz w:val="24"/>
          <w:szCs w:val="24"/>
        </w:rPr>
        <w:t>support plant health and biosecurity in U.S. agricultural and natural ecosystems</w:t>
      </w:r>
      <w:r w:rsidR="00D0342A">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NPDN </w:t>
      </w:r>
      <w:r w:rsidR="002552A9">
        <w:rPr>
          <w:rFonts w:ascii="Calibri" w:eastAsia="Calibri" w:hAnsi="Calibri" w:cs="Calibri"/>
          <w:color w:val="000000"/>
          <w:sz w:val="24"/>
          <w:szCs w:val="24"/>
        </w:rPr>
        <w:t>facilitates</w:t>
      </w:r>
      <w:r w:rsidR="00C52FE4">
        <w:rPr>
          <w:rFonts w:ascii="Calibri" w:eastAsia="Calibri" w:hAnsi="Calibri" w:cs="Calibri"/>
          <w:color w:val="000000"/>
          <w:sz w:val="24"/>
          <w:szCs w:val="24"/>
        </w:rPr>
        <w:t xml:space="preserve"> </w:t>
      </w:r>
      <w:r w:rsidR="00B05EAB">
        <w:rPr>
          <w:rFonts w:ascii="Calibri" w:eastAsia="Calibri" w:hAnsi="Calibri" w:cs="Calibri"/>
          <w:color w:val="000000"/>
          <w:sz w:val="24"/>
          <w:szCs w:val="24"/>
        </w:rPr>
        <w:t xml:space="preserve">nationwide </w:t>
      </w:r>
      <w:r w:rsidR="0028248E">
        <w:rPr>
          <w:rFonts w:ascii="Calibri" w:eastAsia="Calibri" w:hAnsi="Calibri" w:cs="Calibri"/>
          <w:color w:val="000000"/>
          <w:sz w:val="24"/>
          <w:szCs w:val="24"/>
        </w:rPr>
        <w:t>access to</w:t>
      </w:r>
      <w:r>
        <w:rPr>
          <w:rFonts w:ascii="Calibri" w:eastAsia="Calibri" w:hAnsi="Calibri" w:cs="Calibri"/>
          <w:color w:val="000000"/>
          <w:sz w:val="24"/>
          <w:szCs w:val="24"/>
        </w:rPr>
        <w:t xml:space="preserve"> diagnostic capacity, communication, coordination, and pest and disease diagnostic information.</w:t>
      </w:r>
      <w:r w:rsidR="00264895" w:rsidRPr="00264895">
        <w:rPr>
          <w:rFonts w:ascii="Calibri" w:eastAsia="Calibri" w:hAnsi="Calibri" w:cs="Calibri"/>
          <w:color w:val="000000"/>
          <w:sz w:val="24"/>
          <w:szCs w:val="24"/>
        </w:rPr>
        <w:t xml:space="preserve"> </w:t>
      </w:r>
    </w:p>
    <w:p w14:paraId="2C06B7EC" w14:textId="77777777" w:rsidR="00A75D6D" w:rsidRDefault="00AE152E">
      <w:pPr>
        <w:pStyle w:val="Heading3"/>
      </w:pPr>
      <w:r>
        <w:t>A network of distributed diagnostic capacity</w:t>
      </w:r>
    </w:p>
    <w:p w14:paraId="2C06B7ED" w14:textId="428B9C93"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NPDN has established a nation-wide presence representing </w:t>
      </w:r>
      <w:r>
        <w:rPr>
          <w:rFonts w:ascii="Calibri" w:eastAsia="Calibri" w:hAnsi="Calibri" w:cs="Calibri"/>
          <w:b/>
          <w:bCs/>
          <w:color w:val="000000"/>
          <w:sz w:val="24"/>
          <w:szCs w:val="24"/>
        </w:rPr>
        <w:t>125</w:t>
      </w:r>
      <w:r>
        <w:rPr>
          <w:rFonts w:ascii="Calibri" w:eastAsia="Calibri" w:hAnsi="Calibri" w:cs="Calibri"/>
          <w:color w:val="000000"/>
          <w:sz w:val="24"/>
          <w:szCs w:val="24"/>
        </w:rPr>
        <w:t xml:space="preserve"> laboratories in land grant universities (LGU), state departments of agriculture (SDA), federal agencies, and industry. NPDN </w:t>
      </w:r>
      <w:r w:rsidR="00E66DE5">
        <w:rPr>
          <w:rFonts w:ascii="Calibri" w:eastAsia="Calibri" w:hAnsi="Calibri" w:cs="Calibri"/>
          <w:color w:val="000000"/>
          <w:sz w:val="24"/>
          <w:szCs w:val="24"/>
        </w:rPr>
        <w:t>member</w:t>
      </w:r>
      <w:r w:rsidR="00E270F9">
        <w:rPr>
          <w:rFonts w:ascii="Calibri" w:eastAsia="Calibri" w:hAnsi="Calibri" w:cs="Calibri"/>
          <w:color w:val="000000"/>
          <w:sz w:val="24"/>
          <w:szCs w:val="24"/>
        </w:rPr>
        <w:t>s</w:t>
      </w:r>
      <w:r>
        <w:rPr>
          <w:rFonts w:ascii="Calibri" w:eastAsia="Calibri" w:hAnsi="Calibri" w:cs="Calibri"/>
          <w:color w:val="000000"/>
          <w:sz w:val="24"/>
          <w:szCs w:val="24"/>
        </w:rPr>
        <w:t xml:space="preserve"> are in all </w:t>
      </w:r>
      <w:r>
        <w:rPr>
          <w:rFonts w:ascii="Calibri" w:eastAsia="Calibri" w:hAnsi="Calibri" w:cs="Calibri"/>
          <w:b/>
          <w:bCs/>
          <w:color w:val="000000"/>
          <w:sz w:val="24"/>
          <w:szCs w:val="24"/>
        </w:rPr>
        <w:t xml:space="preserve">50 </w:t>
      </w:r>
      <w:r>
        <w:rPr>
          <w:rFonts w:ascii="Calibri" w:eastAsia="Calibri" w:hAnsi="Calibri" w:cs="Calibri"/>
          <w:color w:val="000000"/>
          <w:sz w:val="24"/>
          <w:szCs w:val="24"/>
        </w:rPr>
        <w:t xml:space="preserve">states and </w:t>
      </w:r>
      <w:r>
        <w:rPr>
          <w:rFonts w:ascii="Calibri" w:eastAsia="Calibri" w:hAnsi="Calibri" w:cs="Calibri"/>
          <w:b/>
          <w:bCs/>
          <w:color w:val="000000"/>
          <w:sz w:val="24"/>
          <w:szCs w:val="24"/>
        </w:rPr>
        <w:t>4</w:t>
      </w:r>
      <w:r>
        <w:rPr>
          <w:rFonts w:ascii="Calibri" w:eastAsia="Calibri" w:hAnsi="Calibri" w:cs="Calibri"/>
          <w:color w:val="000000"/>
          <w:sz w:val="24"/>
          <w:szCs w:val="24"/>
        </w:rPr>
        <w:t xml:space="preserve"> U.S. territories. </w:t>
      </w:r>
    </w:p>
    <w:p w14:paraId="2C06B7EE" w14:textId="77777777" w:rsidR="00A75D6D" w:rsidRDefault="00AE152E">
      <w:pPr>
        <w:pBdr>
          <w:top w:val="nil"/>
          <w:left w:val="nil"/>
          <w:bottom w:val="nil"/>
          <w:right w:val="nil"/>
          <w:between w:val="nil"/>
        </w:pBdr>
        <w:spacing w:after="120" w:line="264" w:lineRule="auto"/>
        <w:jc w:val="center"/>
        <w:rPr>
          <w:rFonts w:ascii="Calibri" w:eastAsia="Calibri" w:hAnsi="Calibri" w:cs="Calibri"/>
          <w:color w:val="000000"/>
          <w:sz w:val="24"/>
          <w:szCs w:val="24"/>
        </w:rPr>
      </w:pPr>
      <w:r>
        <w:rPr>
          <w:rFonts w:ascii="Calibri" w:eastAsia="Calibri" w:hAnsi="Calibri" w:cs="Calibri"/>
          <w:b/>
          <w:bCs/>
          <w:color w:val="000000"/>
          <w:sz w:val="24"/>
          <w:szCs w:val="24"/>
        </w:rPr>
        <w:t>206</w:t>
      </w:r>
      <w:r>
        <w:rPr>
          <w:rFonts w:ascii="Calibri" w:eastAsia="Calibri" w:hAnsi="Calibri" w:cs="Calibri"/>
          <w:color w:val="000000"/>
          <w:sz w:val="24"/>
          <w:szCs w:val="24"/>
        </w:rPr>
        <w:t xml:space="preserve"> NPDN members, including </w:t>
      </w:r>
      <w:r>
        <w:rPr>
          <w:rFonts w:ascii="Calibri" w:eastAsia="Calibri" w:hAnsi="Calibri" w:cs="Calibri"/>
          <w:b/>
          <w:bCs/>
          <w:color w:val="000000"/>
          <w:sz w:val="24"/>
          <w:szCs w:val="24"/>
        </w:rPr>
        <w:t>178</w:t>
      </w:r>
      <w:r>
        <w:rPr>
          <w:rFonts w:ascii="Calibri" w:eastAsia="Calibri" w:hAnsi="Calibri" w:cs="Calibri"/>
          <w:color w:val="000000"/>
          <w:sz w:val="24"/>
          <w:szCs w:val="24"/>
        </w:rPr>
        <w:t xml:space="preserve"> plant diagnostic professionals </w:t>
      </w:r>
    </w:p>
    <w:p w14:paraId="2C06B7EF" w14:textId="77777777" w:rsidR="00A75D6D" w:rsidRDefault="00AE152E">
      <w:pPr>
        <w:keepNext/>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To effectively coordinate the work of dozens of institutions and members across the U.S., the NPDN is divided into five regions, each organized around a Regional Center as follows:</w:t>
      </w:r>
      <w:r>
        <w:rPr>
          <w:noProof/>
        </w:rPr>
        <w:drawing>
          <wp:anchor distT="0" distB="0" distL="114300" distR="114300" simplePos="0" relativeHeight="251658240" behindDoc="0" locked="0" layoutInCell="1" hidden="0" allowOverlap="1" wp14:anchorId="2C06B88C" wp14:editId="3B27C4FC">
            <wp:simplePos x="0" y="0"/>
            <wp:positionH relativeFrom="column">
              <wp:posOffset>2094864</wp:posOffset>
            </wp:positionH>
            <wp:positionV relativeFrom="paragraph">
              <wp:posOffset>10795</wp:posOffset>
            </wp:positionV>
            <wp:extent cx="3848735" cy="2276475"/>
            <wp:effectExtent l="0" t="0" r="0" b="0"/>
            <wp:wrapSquare wrapText="bothSides" distT="0" distB="0" distL="114300" distR="114300"/>
            <wp:docPr id="1543970905" name="image1.png" descr="A map of the united states color coded with the five NPDN regions."/>
            <wp:cNvGraphicFramePr/>
            <a:graphic xmlns:a="http://schemas.openxmlformats.org/drawingml/2006/main">
              <a:graphicData uri="http://schemas.openxmlformats.org/drawingml/2006/picture">
                <pic:pic xmlns:pic="http://schemas.openxmlformats.org/drawingml/2006/picture">
                  <pic:nvPicPr>
                    <pic:cNvPr id="1543970905" name="image1.png" descr="A map of the united states color coded with the five NPDN regions."/>
                    <pic:cNvPicPr preferRelativeResize="0"/>
                  </pic:nvPicPr>
                  <pic:blipFill>
                    <a:blip r:embed="rId8"/>
                    <a:srcRect l="5742" t="3149" r="4785" b="2756"/>
                    <a:stretch>
                      <a:fillRect/>
                    </a:stretch>
                  </pic:blipFill>
                  <pic:spPr>
                    <a:xfrm>
                      <a:off x="0" y="0"/>
                      <a:ext cx="3848735" cy="2276475"/>
                    </a:xfrm>
                    <a:prstGeom prst="rect">
                      <a:avLst/>
                    </a:prstGeom>
                    <a:ln/>
                  </pic:spPr>
                </pic:pic>
              </a:graphicData>
            </a:graphic>
          </wp:anchor>
        </w:drawing>
      </w:r>
    </w:p>
    <w:p w14:paraId="2C06B7F0" w14:textId="77777777" w:rsidR="00A75D6D" w:rsidRDefault="00AE152E">
      <w:pPr>
        <w:numPr>
          <w:ilvl w:val="0"/>
          <w:numId w:val="2"/>
        </w:numPr>
        <w:pBdr>
          <w:top w:val="nil"/>
          <w:left w:val="nil"/>
          <w:bottom w:val="nil"/>
          <w:right w:val="nil"/>
          <w:between w:val="nil"/>
        </w:pBdr>
        <w:spacing w:after="0" w:line="264" w:lineRule="auto"/>
      </w:pPr>
      <w:r>
        <w:rPr>
          <w:rFonts w:ascii="Calibri" w:eastAsia="Calibri" w:hAnsi="Calibri" w:cs="Calibri"/>
          <w:color w:val="000000"/>
          <w:sz w:val="24"/>
          <w:szCs w:val="24"/>
        </w:rPr>
        <w:t>Northeast Plant Diagnostic Network (NEPDN), University of Maine</w:t>
      </w:r>
    </w:p>
    <w:p w14:paraId="2C06B7F1" w14:textId="77777777" w:rsidR="00A75D6D" w:rsidRDefault="00AE152E">
      <w:pPr>
        <w:numPr>
          <w:ilvl w:val="0"/>
          <w:numId w:val="2"/>
        </w:numPr>
        <w:pBdr>
          <w:top w:val="nil"/>
          <w:left w:val="nil"/>
          <w:bottom w:val="nil"/>
          <w:right w:val="nil"/>
          <w:between w:val="nil"/>
        </w:pBdr>
        <w:spacing w:after="0" w:line="264" w:lineRule="auto"/>
      </w:pPr>
      <w:r>
        <w:rPr>
          <w:rFonts w:ascii="Calibri" w:eastAsia="Calibri" w:hAnsi="Calibri" w:cs="Calibri"/>
          <w:color w:val="000000"/>
          <w:sz w:val="24"/>
          <w:szCs w:val="24"/>
        </w:rPr>
        <w:t xml:space="preserve">Southern Plant Diagnostic Network (SPDN), University of Florida </w:t>
      </w:r>
    </w:p>
    <w:p w14:paraId="2C06B7F2" w14:textId="77777777" w:rsidR="00A75D6D" w:rsidRDefault="00AE152E">
      <w:pPr>
        <w:numPr>
          <w:ilvl w:val="0"/>
          <w:numId w:val="2"/>
        </w:numPr>
        <w:pBdr>
          <w:top w:val="nil"/>
          <w:left w:val="nil"/>
          <w:bottom w:val="nil"/>
          <w:right w:val="nil"/>
          <w:between w:val="nil"/>
        </w:pBdr>
        <w:spacing w:after="0" w:line="264" w:lineRule="auto"/>
      </w:pPr>
      <w:r>
        <w:rPr>
          <w:rFonts w:ascii="Calibri" w:eastAsia="Calibri" w:hAnsi="Calibri" w:cs="Calibri"/>
          <w:color w:val="000000"/>
          <w:sz w:val="24"/>
          <w:szCs w:val="24"/>
        </w:rPr>
        <w:t>North Central Plant Diagnostic Network (NCPDN), Michigan State University</w:t>
      </w:r>
    </w:p>
    <w:p w14:paraId="2C06B7F3" w14:textId="77777777" w:rsidR="00A75D6D" w:rsidRDefault="00AE152E">
      <w:pPr>
        <w:numPr>
          <w:ilvl w:val="0"/>
          <w:numId w:val="2"/>
        </w:numPr>
        <w:pBdr>
          <w:top w:val="nil"/>
          <w:left w:val="nil"/>
          <w:bottom w:val="nil"/>
          <w:right w:val="nil"/>
          <w:between w:val="nil"/>
        </w:pBdr>
        <w:spacing w:after="0" w:line="264" w:lineRule="auto"/>
      </w:pPr>
      <w:r>
        <w:rPr>
          <w:rFonts w:ascii="Calibri" w:eastAsia="Calibri" w:hAnsi="Calibri" w:cs="Calibri"/>
          <w:color w:val="000000"/>
          <w:sz w:val="24"/>
          <w:szCs w:val="24"/>
        </w:rPr>
        <w:t>Great Plains Diagnostic Network (GPDN), Kansas State University</w:t>
      </w:r>
    </w:p>
    <w:p w14:paraId="2C06B7F4" w14:textId="77777777" w:rsidR="00A75D6D" w:rsidRDefault="00AE152E">
      <w:pPr>
        <w:numPr>
          <w:ilvl w:val="0"/>
          <w:numId w:val="2"/>
        </w:numPr>
        <w:pBdr>
          <w:top w:val="nil"/>
          <w:left w:val="nil"/>
          <w:bottom w:val="nil"/>
          <w:right w:val="nil"/>
          <w:between w:val="nil"/>
        </w:pBdr>
        <w:spacing w:after="0" w:line="264" w:lineRule="auto"/>
      </w:pPr>
      <w:r>
        <w:rPr>
          <w:rFonts w:ascii="Calibri" w:eastAsia="Calibri" w:hAnsi="Calibri" w:cs="Calibri"/>
          <w:color w:val="000000"/>
          <w:sz w:val="24"/>
          <w:szCs w:val="24"/>
        </w:rPr>
        <w:t>Western Plant Diagnostic Network (WPDN), University of California, Davis</w:t>
      </w:r>
    </w:p>
    <w:p w14:paraId="2C06B7F5"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Each regional center has been selected in a competitive grant process and oversees coordinating the communication and support of laboratories for all states in their region. Regional centers also work together to coordinate and implement all network programs and initiatives at the national level.</w:t>
      </w:r>
    </w:p>
    <w:p w14:paraId="2C06B7F6" w14:textId="77777777" w:rsidR="00A75D6D" w:rsidRPr="00117F13" w:rsidRDefault="00AE152E" w:rsidP="00117F13">
      <w:pPr>
        <w:pStyle w:val="Heading1"/>
      </w:pPr>
      <w:r w:rsidRPr="00117F13">
        <w:lastRenderedPageBreak/>
        <w:t>NPDN 2025 Accomplishments</w:t>
      </w:r>
    </w:p>
    <w:p w14:paraId="2C06B7F7"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This report lists the accomplishments of</w:t>
      </w:r>
      <w:r>
        <w:rPr>
          <w:rFonts w:ascii="Calibri" w:eastAsia="Calibri" w:hAnsi="Calibri" w:cs="Calibri"/>
          <w:b/>
          <w:bCs/>
          <w:color w:val="000000"/>
          <w:sz w:val="24"/>
          <w:szCs w:val="24"/>
        </w:rPr>
        <w:t xml:space="preserve"> 7</w:t>
      </w:r>
      <w:r>
        <w:rPr>
          <w:rFonts w:ascii="Calibri" w:eastAsia="Calibri" w:hAnsi="Calibri" w:cs="Calibri"/>
          <w:b/>
          <w:bCs/>
          <w:sz w:val="24"/>
          <w:szCs w:val="24"/>
        </w:rPr>
        <w:t>1</w:t>
      </w:r>
      <w:r>
        <w:rPr>
          <w:rFonts w:ascii="Calibri" w:eastAsia="Calibri" w:hAnsi="Calibri" w:cs="Calibri"/>
          <w:color w:val="000000"/>
          <w:sz w:val="24"/>
          <w:szCs w:val="24"/>
        </w:rPr>
        <w:t xml:space="preserve"> labs from </w:t>
      </w:r>
      <w:r>
        <w:rPr>
          <w:rFonts w:ascii="Calibri" w:eastAsia="Calibri" w:hAnsi="Calibri" w:cs="Calibri"/>
          <w:b/>
          <w:bCs/>
          <w:sz w:val="24"/>
          <w:szCs w:val="24"/>
        </w:rPr>
        <w:t>49</w:t>
      </w:r>
      <w:r>
        <w:rPr>
          <w:rFonts w:ascii="Calibri" w:eastAsia="Calibri" w:hAnsi="Calibri" w:cs="Calibri"/>
          <w:color w:val="000000"/>
          <w:sz w:val="24"/>
          <w:szCs w:val="24"/>
        </w:rPr>
        <w:t xml:space="preserve"> states and </w:t>
      </w:r>
      <w:r>
        <w:rPr>
          <w:rFonts w:ascii="Calibri" w:eastAsia="Calibri" w:hAnsi="Calibri" w:cs="Calibri"/>
          <w:b/>
          <w:bCs/>
          <w:sz w:val="24"/>
          <w:szCs w:val="24"/>
        </w:rPr>
        <w:t>2</w:t>
      </w:r>
      <w:r>
        <w:rPr>
          <w:rFonts w:ascii="Calibri" w:eastAsia="Calibri" w:hAnsi="Calibri" w:cs="Calibri"/>
          <w:color w:val="000000"/>
          <w:sz w:val="24"/>
          <w:szCs w:val="24"/>
        </w:rPr>
        <w:t xml:space="preserve"> territories that answered the 202</w:t>
      </w:r>
      <w:r>
        <w:rPr>
          <w:rFonts w:ascii="Calibri" w:eastAsia="Calibri" w:hAnsi="Calibri" w:cs="Calibri"/>
          <w:sz w:val="24"/>
          <w:szCs w:val="24"/>
        </w:rPr>
        <w:t>5</w:t>
      </w:r>
      <w:r>
        <w:rPr>
          <w:rFonts w:ascii="Calibri" w:eastAsia="Calibri" w:hAnsi="Calibri" w:cs="Calibri"/>
          <w:color w:val="000000"/>
          <w:sz w:val="24"/>
          <w:szCs w:val="24"/>
        </w:rPr>
        <w:t xml:space="preserve"> NPDN Lab Capacity and Impact Evaluation. This included </w:t>
      </w:r>
      <w:r>
        <w:rPr>
          <w:rFonts w:ascii="Calibri" w:eastAsia="Calibri" w:hAnsi="Calibri" w:cs="Calibri"/>
          <w:b/>
          <w:bCs/>
          <w:color w:val="000000"/>
          <w:sz w:val="24"/>
          <w:szCs w:val="24"/>
        </w:rPr>
        <w:t>6</w:t>
      </w:r>
      <w:r>
        <w:rPr>
          <w:rFonts w:ascii="Calibri" w:eastAsia="Calibri" w:hAnsi="Calibri" w:cs="Calibri"/>
          <w:b/>
          <w:bCs/>
          <w:sz w:val="24"/>
          <w:szCs w:val="24"/>
        </w:rPr>
        <w:t>4</w:t>
      </w:r>
      <w:r>
        <w:rPr>
          <w:rFonts w:ascii="Calibri" w:eastAsia="Calibri" w:hAnsi="Calibri" w:cs="Calibri"/>
          <w:color w:val="000000"/>
          <w:sz w:val="24"/>
          <w:szCs w:val="24"/>
        </w:rPr>
        <w:t xml:space="preserve"> NPDN-funded labs and </w:t>
      </w:r>
      <w:r>
        <w:rPr>
          <w:rFonts w:ascii="Calibri" w:eastAsia="Calibri" w:hAnsi="Calibri" w:cs="Calibri"/>
          <w:b/>
          <w:bCs/>
          <w:color w:val="000000"/>
          <w:sz w:val="24"/>
          <w:szCs w:val="24"/>
        </w:rPr>
        <w:t>7</w:t>
      </w:r>
      <w:r>
        <w:rPr>
          <w:rFonts w:ascii="Calibri" w:eastAsia="Calibri" w:hAnsi="Calibri" w:cs="Calibri"/>
          <w:color w:val="000000"/>
          <w:sz w:val="24"/>
          <w:szCs w:val="24"/>
        </w:rPr>
        <w:t xml:space="preserve"> additional non-funded NPDN labs.</w:t>
      </w:r>
    </w:p>
    <w:p w14:paraId="35E73044" w14:textId="55EA3319" w:rsidR="002E44CA" w:rsidRPr="00117F13" w:rsidRDefault="002E44CA" w:rsidP="00117F13">
      <w:pPr>
        <w:pStyle w:val="Heading2"/>
      </w:pPr>
      <w:r w:rsidRPr="00117F13">
        <w:t>Diagnostic capacity</w:t>
      </w:r>
    </w:p>
    <w:p w14:paraId="0ACFB4E8" w14:textId="6AB9935E" w:rsidR="00FF08B6" w:rsidRPr="00FF08B6" w:rsidRDefault="00FF08B6" w:rsidP="00FF08B6">
      <w:pPr>
        <w:rPr>
          <w:lang w:val="en-US"/>
        </w:rPr>
      </w:pPr>
      <w:r>
        <w:rPr>
          <w:rFonts w:ascii="Calibri" w:eastAsia="Calibri" w:hAnsi="Calibri" w:cs="Calibri"/>
          <w:color w:val="000000"/>
          <w:sz w:val="24"/>
          <w:szCs w:val="24"/>
        </w:rPr>
        <w:t xml:space="preserve">NPDN </w:t>
      </w:r>
      <w:r w:rsidR="00E76176">
        <w:rPr>
          <w:rFonts w:ascii="Calibri" w:eastAsia="Calibri" w:hAnsi="Calibri" w:cs="Calibri"/>
          <w:color w:val="000000"/>
          <w:sz w:val="24"/>
          <w:szCs w:val="24"/>
        </w:rPr>
        <w:t>facilitates</w:t>
      </w:r>
      <w:r>
        <w:rPr>
          <w:rFonts w:ascii="Calibri" w:eastAsia="Calibri" w:hAnsi="Calibri" w:cs="Calibri"/>
          <w:color w:val="000000"/>
          <w:sz w:val="24"/>
          <w:szCs w:val="24"/>
        </w:rPr>
        <w:t xml:space="preserve"> </w:t>
      </w:r>
      <w:r w:rsidR="00E76176">
        <w:rPr>
          <w:rFonts w:ascii="Calibri" w:eastAsia="Calibri" w:hAnsi="Calibri" w:cs="Calibri"/>
          <w:color w:val="000000"/>
          <w:sz w:val="24"/>
          <w:szCs w:val="24"/>
        </w:rPr>
        <w:t xml:space="preserve">access </w:t>
      </w:r>
      <w:r>
        <w:rPr>
          <w:rFonts w:ascii="Calibri" w:eastAsia="Calibri" w:hAnsi="Calibri" w:cs="Calibri"/>
          <w:color w:val="000000"/>
          <w:sz w:val="24"/>
          <w:szCs w:val="24"/>
        </w:rPr>
        <w:t>to diagnostic capacity</w:t>
      </w:r>
      <w:r w:rsidR="004046E2">
        <w:rPr>
          <w:rFonts w:ascii="Calibri" w:eastAsia="Calibri" w:hAnsi="Calibri" w:cs="Calibri"/>
          <w:color w:val="000000"/>
          <w:sz w:val="24"/>
          <w:szCs w:val="24"/>
        </w:rPr>
        <w:t xml:space="preserve"> </w:t>
      </w:r>
      <w:r>
        <w:rPr>
          <w:rFonts w:ascii="Calibri" w:eastAsia="Calibri" w:hAnsi="Calibri" w:cs="Calibri"/>
          <w:color w:val="000000"/>
          <w:sz w:val="24"/>
          <w:szCs w:val="24"/>
        </w:rPr>
        <w:t>and pest and disease diagnostic information</w:t>
      </w:r>
      <w:r w:rsidR="00E76176" w:rsidRPr="00E76176">
        <w:rPr>
          <w:rFonts w:ascii="Calibri" w:eastAsia="Calibri" w:hAnsi="Calibri" w:cs="Calibri"/>
          <w:color w:val="000000"/>
          <w:sz w:val="24"/>
          <w:szCs w:val="24"/>
        </w:rPr>
        <w:t xml:space="preserve"> </w:t>
      </w:r>
      <w:r w:rsidR="00E76176">
        <w:rPr>
          <w:rFonts w:ascii="Calibri" w:eastAsia="Calibri" w:hAnsi="Calibri" w:cs="Calibri"/>
          <w:color w:val="000000"/>
          <w:sz w:val="24"/>
          <w:szCs w:val="24"/>
        </w:rPr>
        <w:t>nationwide</w:t>
      </w:r>
      <w:r>
        <w:rPr>
          <w:rFonts w:ascii="Calibri" w:eastAsia="Calibri" w:hAnsi="Calibri" w:cs="Calibri"/>
          <w:color w:val="000000"/>
          <w:sz w:val="24"/>
          <w:szCs w:val="24"/>
        </w:rPr>
        <w:t>.</w:t>
      </w:r>
    </w:p>
    <w:p w14:paraId="73DAAC7B" w14:textId="77777777" w:rsidR="00DD283C" w:rsidRDefault="00DD283C" w:rsidP="00DD283C">
      <w:pPr>
        <w:pStyle w:val="Heading3"/>
      </w:pPr>
      <w:r>
        <w:t>Diagnostic capability</w:t>
      </w:r>
    </w:p>
    <w:p w14:paraId="2717EA23" w14:textId="6E0A81ED" w:rsidR="00DD283C" w:rsidRDefault="00DD283C" w:rsidP="00DD283C">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NPDN </w:t>
      </w:r>
      <w:r w:rsidR="00ED7032">
        <w:rPr>
          <w:rFonts w:ascii="Calibri" w:eastAsia="Calibri" w:hAnsi="Calibri" w:cs="Calibri"/>
          <w:color w:val="000000"/>
          <w:sz w:val="24"/>
          <w:szCs w:val="24"/>
        </w:rPr>
        <w:t>members</w:t>
      </w:r>
      <w:r>
        <w:rPr>
          <w:rFonts w:ascii="Calibri" w:eastAsia="Calibri" w:hAnsi="Calibri" w:cs="Calibri"/>
          <w:color w:val="000000"/>
          <w:sz w:val="24"/>
          <w:szCs w:val="24"/>
        </w:rPr>
        <w:t xml:space="preserve"> are mostly plant pathology and entomology labs, but they also provide diagnostic services in other fields of plant health</w:t>
      </w:r>
      <w:r w:rsidR="00796FE4">
        <w:rPr>
          <w:rFonts w:ascii="Calibri" w:eastAsia="Calibri" w:hAnsi="Calibri" w:cs="Calibri"/>
          <w:color w:val="000000"/>
          <w:sz w:val="24"/>
          <w:szCs w:val="24"/>
        </w:rPr>
        <w:t xml:space="preserve"> listed below.</w:t>
      </w:r>
    </w:p>
    <w:tbl>
      <w:tblPr>
        <w:tblStyle w:val="a"/>
        <w:tblW w:w="5000" w:type="pct"/>
        <w:tblLook w:val="0620" w:firstRow="1" w:lastRow="0" w:firstColumn="0" w:lastColumn="0" w:noHBand="1" w:noVBand="1"/>
      </w:tblPr>
      <w:tblGrid>
        <w:gridCol w:w="1308"/>
        <w:gridCol w:w="1231"/>
        <w:gridCol w:w="1398"/>
        <w:gridCol w:w="1473"/>
        <w:gridCol w:w="1337"/>
        <w:gridCol w:w="1003"/>
        <w:gridCol w:w="1610"/>
      </w:tblGrid>
      <w:tr w:rsidR="00DD283C" w14:paraId="3157F451" w14:textId="77777777" w:rsidTr="00117F13">
        <w:trPr>
          <w:trHeight w:val="557"/>
        </w:trPr>
        <w:tc>
          <w:tcPr>
            <w:tcW w:w="698" w:type="pct"/>
            <w:tcBorders>
              <w:bottom w:val="single" w:sz="8" w:space="0" w:color="4A86E8"/>
            </w:tcBorders>
            <w:tcMar>
              <w:top w:w="100" w:type="dxa"/>
              <w:left w:w="100" w:type="dxa"/>
              <w:bottom w:w="100" w:type="dxa"/>
              <w:right w:w="100" w:type="dxa"/>
            </w:tcMar>
          </w:tcPr>
          <w:p w14:paraId="5B7E1981" w14:textId="3330CD57" w:rsidR="00DD283C" w:rsidRDefault="00DD283C" w:rsidP="00B76F99">
            <w:pPr>
              <w:widowControl w:val="0"/>
              <w:pBdr>
                <w:top w:val="nil"/>
                <w:left w:val="nil"/>
                <w:bottom w:val="nil"/>
                <w:right w:val="nil"/>
                <w:between w:val="nil"/>
              </w:pBdr>
              <w:spacing w:before="0" w:after="0" w:line="240" w:lineRule="auto"/>
              <w:jc w:val="center"/>
              <w:rPr>
                <w:rFonts w:ascii="Calibri" w:eastAsia="Calibri" w:hAnsi="Calibri" w:cs="Calibri"/>
                <w:sz w:val="24"/>
                <w:szCs w:val="24"/>
              </w:rPr>
            </w:pPr>
          </w:p>
        </w:tc>
        <w:tc>
          <w:tcPr>
            <w:tcW w:w="657" w:type="pct"/>
            <w:tcBorders>
              <w:bottom w:val="single" w:sz="8" w:space="0" w:color="4A86E8"/>
            </w:tcBorders>
            <w:tcMar>
              <w:top w:w="100" w:type="dxa"/>
              <w:left w:w="100" w:type="dxa"/>
              <w:bottom w:w="100" w:type="dxa"/>
              <w:right w:w="100" w:type="dxa"/>
            </w:tcMar>
          </w:tcPr>
          <w:p w14:paraId="0FA54D12" w14:textId="77777777" w:rsidR="00DD283C" w:rsidRDefault="00DD283C" w:rsidP="00B76F99">
            <w:pPr>
              <w:widowControl w:val="0"/>
              <w:pBdr>
                <w:top w:val="nil"/>
                <w:left w:val="nil"/>
                <w:bottom w:val="nil"/>
                <w:right w:val="nil"/>
                <w:between w:val="nil"/>
              </w:pBdr>
              <w:spacing w:before="0" w:after="0" w:line="240" w:lineRule="auto"/>
              <w:jc w:val="center"/>
              <w:rPr>
                <w:rFonts w:ascii="Calibri" w:eastAsia="Calibri" w:hAnsi="Calibri" w:cs="Calibri"/>
                <w:sz w:val="24"/>
                <w:szCs w:val="24"/>
              </w:rPr>
            </w:pPr>
            <w:r>
              <w:rPr>
                <w:rFonts w:ascii="Calibri" w:eastAsia="Calibri" w:hAnsi="Calibri" w:cs="Calibri"/>
                <w:sz w:val="24"/>
                <w:szCs w:val="24"/>
              </w:rPr>
              <w:t>Pathology</w:t>
            </w:r>
          </w:p>
        </w:tc>
        <w:tc>
          <w:tcPr>
            <w:tcW w:w="747" w:type="pct"/>
            <w:tcBorders>
              <w:bottom w:val="single" w:sz="8" w:space="0" w:color="4A86E8"/>
            </w:tcBorders>
            <w:tcMar>
              <w:top w:w="100" w:type="dxa"/>
              <w:left w:w="100" w:type="dxa"/>
              <w:bottom w:w="100" w:type="dxa"/>
              <w:right w:w="100" w:type="dxa"/>
            </w:tcMar>
          </w:tcPr>
          <w:p w14:paraId="538A71E5" w14:textId="77777777" w:rsidR="00DD283C" w:rsidRDefault="00DD283C" w:rsidP="00B76F99">
            <w:pPr>
              <w:widowControl w:val="0"/>
              <w:pBdr>
                <w:top w:val="nil"/>
                <w:left w:val="nil"/>
                <w:bottom w:val="nil"/>
                <w:right w:val="nil"/>
                <w:between w:val="nil"/>
              </w:pBdr>
              <w:spacing w:before="0" w:after="0" w:line="240" w:lineRule="auto"/>
              <w:jc w:val="center"/>
              <w:rPr>
                <w:rFonts w:ascii="Calibri" w:eastAsia="Calibri" w:hAnsi="Calibri" w:cs="Calibri"/>
                <w:sz w:val="24"/>
                <w:szCs w:val="24"/>
              </w:rPr>
            </w:pPr>
            <w:r>
              <w:rPr>
                <w:rFonts w:ascii="Calibri" w:eastAsia="Calibri" w:hAnsi="Calibri" w:cs="Calibri"/>
                <w:sz w:val="24"/>
                <w:szCs w:val="24"/>
              </w:rPr>
              <w:t>Entomology</w:t>
            </w:r>
          </w:p>
        </w:tc>
        <w:tc>
          <w:tcPr>
            <w:tcW w:w="787" w:type="pct"/>
            <w:tcBorders>
              <w:bottom w:val="single" w:sz="8" w:space="0" w:color="4A86E8"/>
            </w:tcBorders>
            <w:tcMar>
              <w:top w:w="100" w:type="dxa"/>
              <w:left w:w="100" w:type="dxa"/>
              <w:bottom w:w="100" w:type="dxa"/>
              <w:right w:w="100" w:type="dxa"/>
            </w:tcMar>
          </w:tcPr>
          <w:p w14:paraId="01404D8A" w14:textId="77777777" w:rsidR="00DD283C" w:rsidRDefault="00DD283C" w:rsidP="00B76F99">
            <w:pPr>
              <w:widowControl w:val="0"/>
              <w:pBdr>
                <w:top w:val="nil"/>
                <w:left w:val="nil"/>
                <w:bottom w:val="nil"/>
                <w:right w:val="nil"/>
                <w:between w:val="nil"/>
              </w:pBdr>
              <w:spacing w:before="0" w:after="0" w:line="240" w:lineRule="auto"/>
              <w:jc w:val="center"/>
              <w:rPr>
                <w:rFonts w:ascii="Calibri" w:eastAsia="Calibri" w:hAnsi="Calibri" w:cs="Calibri"/>
                <w:sz w:val="24"/>
                <w:szCs w:val="24"/>
              </w:rPr>
            </w:pPr>
            <w:r>
              <w:rPr>
                <w:rFonts w:ascii="Calibri" w:eastAsia="Calibri" w:hAnsi="Calibri" w:cs="Calibri"/>
                <w:sz w:val="24"/>
                <w:szCs w:val="24"/>
              </w:rPr>
              <w:t>Nematology</w:t>
            </w:r>
          </w:p>
        </w:tc>
        <w:tc>
          <w:tcPr>
            <w:tcW w:w="714" w:type="pct"/>
            <w:tcBorders>
              <w:bottom w:val="single" w:sz="8" w:space="0" w:color="4A86E8"/>
            </w:tcBorders>
            <w:tcMar>
              <w:top w:w="100" w:type="dxa"/>
              <w:left w:w="100" w:type="dxa"/>
              <w:bottom w:w="100" w:type="dxa"/>
              <w:right w:w="100" w:type="dxa"/>
            </w:tcMar>
          </w:tcPr>
          <w:p w14:paraId="1AEB5777" w14:textId="77777777" w:rsidR="00DD283C" w:rsidRDefault="00DD283C" w:rsidP="00B76F99">
            <w:pPr>
              <w:widowControl w:val="0"/>
              <w:pBdr>
                <w:top w:val="nil"/>
                <w:left w:val="nil"/>
                <w:bottom w:val="nil"/>
                <w:right w:val="nil"/>
                <w:between w:val="nil"/>
              </w:pBdr>
              <w:spacing w:before="0" w:after="0" w:line="240" w:lineRule="auto"/>
              <w:jc w:val="center"/>
              <w:rPr>
                <w:rFonts w:ascii="Calibri" w:eastAsia="Calibri" w:hAnsi="Calibri" w:cs="Calibri"/>
                <w:sz w:val="24"/>
                <w:szCs w:val="24"/>
              </w:rPr>
            </w:pPr>
            <w:r>
              <w:rPr>
                <w:rFonts w:ascii="Calibri" w:eastAsia="Calibri" w:hAnsi="Calibri" w:cs="Calibri"/>
                <w:sz w:val="24"/>
                <w:szCs w:val="24"/>
              </w:rPr>
              <w:t>Nutrient Analysis</w:t>
            </w:r>
          </w:p>
        </w:tc>
        <w:tc>
          <w:tcPr>
            <w:tcW w:w="536" w:type="pct"/>
            <w:tcBorders>
              <w:bottom w:val="single" w:sz="8" w:space="0" w:color="4A86E8"/>
            </w:tcBorders>
            <w:tcMar>
              <w:top w:w="100" w:type="dxa"/>
              <w:left w:w="100" w:type="dxa"/>
              <w:bottom w:w="100" w:type="dxa"/>
              <w:right w:w="100" w:type="dxa"/>
            </w:tcMar>
          </w:tcPr>
          <w:p w14:paraId="518729C7" w14:textId="77777777" w:rsidR="00DD283C" w:rsidRDefault="00DD283C" w:rsidP="00B76F99">
            <w:pPr>
              <w:widowControl w:val="0"/>
              <w:pBdr>
                <w:top w:val="nil"/>
                <w:left w:val="nil"/>
                <w:bottom w:val="nil"/>
                <w:right w:val="nil"/>
                <w:between w:val="nil"/>
              </w:pBdr>
              <w:spacing w:before="0" w:after="0" w:line="240" w:lineRule="auto"/>
              <w:jc w:val="center"/>
              <w:rPr>
                <w:rFonts w:ascii="Calibri" w:eastAsia="Calibri" w:hAnsi="Calibri" w:cs="Calibri"/>
                <w:sz w:val="24"/>
                <w:szCs w:val="24"/>
              </w:rPr>
            </w:pPr>
            <w:r>
              <w:rPr>
                <w:rFonts w:ascii="Calibri" w:eastAsia="Calibri" w:hAnsi="Calibri" w:cs="Calibri"/>
                <w:sz w:val="24"/>
                <w:szCs w:val="24"/>
              </w:rPr>
              <w:t>Seed Testing</w:t>
            </w:r>
          </w:p>
        </w:tc>
        <w:tc>
          <w:tcPr>
            <w:tcW w:w="860" w:type="pct"/>
            <w:tcBorders>
              <w:bottom w:val="single" w:sz="8" w:space="0" w:color="4A86E8"/>
            </w:tcBorders>
            <w:tcMar>
              <w:top w:w="100" w:type="dxa"/>
              <w:left w:w="100" w:type="dxa"/>
              <w:bottom w:w="100" w:type="dxa"/>
              <w:right w:w="100" w:type="dxa"/>
            </w:tcMar>
          </w:tcPr>
          <w:p w14:paraId="495A8974" w14:textId="0C3B649A" w:rsidR="00DD283C" w:rsidRDefault="00DD283C" w:rsidP="00B76F99">
            <w:pPr>
              <w:widowControl w:val="0"/>
              <w:pBdr>
                <w:top w:val="nil"/>
                <w:left w:val="nil"/>
                <w:bottom w:val="nil"/>
                <w:right w:val="nil"/>
                <w:between w:val="nil"/>
              </w:pBdr>
              <w:spacing w:before="0" w:after="0" w:line="240" w:lineRule="auto"/>
              <w:jc w:val="center"/>
              <w:rPr>
                <w:rFonts w:ascii="Calibri" w:eastAsia="Calibri" w:hAnsi="Calibri" w:cs="Calibri"/>
                <w:sz w:val="24"/>
                <w:szCs w:val="24"/>
              </w:rPr>
            </w:pPr>
            <w:r>
              <w:rPr>
                <w:rFonts w:ascii="Calibri" w:eastAsia="Calibri" w:hAnsi="Calibri" w:cs="Calibri"/>
                <w:sz w:val="24"/>
                <w:szCs w:val="24"/>
              </w:rPr>
              <w:t>Plant</w:t>
            </w:r>
            <w:r w:rsidR="005E78B0">
              <w:rPr>
                <w:rFonts w:ascii="Calibri" w:eastAsia="Calibri" w:hAnsi="Calibri" w:cs="Calibri"/>
                <w:sz w:val="24"/>
                <w:szCs w:val="24"/>
              </w:rPr>
              <w:t>/weed</w:t>
            </w:r>
            <w:r>
              <w:rPr>
                <w:rFonts w:ascii="Calibri" w:eastAsia="Calibri" w:hAnsi="Calibri" w:cs="Calibri"/>
                <w:sz w:val="24"/>
                <w:szCs w:val="24"/>
              </w:rPr>
              <w:t xml:space="preserve"> Identification</w:t>
            </w:r>
          </w:p>
        </w:tc>
      </w:tr>
      <w:tr w:rsidR="00DD283C" w14:paraId="64BF16DA" w14:textId="77777777" w:rsidTr="00117F13">
        <w:trPr>
          <w:trHeight w:val="663"/>
        </w:trPr>
        <w:tc>
          <w:tcPr>
            <w:tcW w:w="698" w:type="pct"/>
            <w:tcBorders>
              <w:top w:val="single" w:sz="8" w:space="0" w:color="4A86E8"/>
            </w:tcBorders>
            <w:tcMar>
              <w:top w:w="100" w:type="dxa"/>
              <w:left w:w="100" w:type="dxa"/>
              <w:bottom w:w="100" w:type="dxa"/>
              <w:right w:w="100" w:type="dxa"/>
            </w:tcMar>
          </w:tcPr>
          <w:p w14:paraId="1644A4B7" w14:textId="77777777" w:rsidR="00DD283C" w:rsidRPr="00264D37" w:rsidRDefault="00DD283C" w:rsidP="00B76F99">
            <w:pPr>
              <w:widowControl w:val="0"/>
              <w:pBdr>
                <w:top w:val="nil"/>
                <w:left w:val="nil"/>
                <w:bottom w:val="nil"/>
                <w:right w:val="nil"/>
                <w:between w:val="nil"/>
              </w:pBdr>
              <w:spacing w:before="0" w:after="0" w:line="240" w:lineRule="auto"/>
              <w:jc w:val="center"/>
              <w:rPr>
                <w:rFonts w:ascii="Calibri" w:eastAsia="Calibri" w:hAnsi="Calibri" w:cs="Calibri"/>
                <w:sz w:val="22"/>
                <w:szCs w:val="22"/>
              </w:rPr>
            </w:pPr>
            <w:r w:rsidRPr="00264D37">
              <w:rPr>
                <w:rFonts w:ascii="Calibri" w:eastAsia="Calibri" w:hAnsi="Calibri" w:cs="Calibri"/>
                <w:sz w:val="22"/>
                <w:szCs w:val="22"/>
              </w:rPr>
              <w:t>Number of NPDN Lab Providers</w:t>
            </w:r>
          </w:p>
        </w:tc>
        <w:tc>
          <w:tcPr>
            <w:tcW w:w="657" w:type="pct"/>
            <w:tcBorders>
              <w:top w:val="single" w:sz="8" w:space="0" w:color="4A86E8"/>
            </w:tcBorders>
            <w:tcMar>
              <w:top w:w="100" w:type="dxa"/>
              <w:left w:w="100" w:type="dxa"/>
              <w:bottom w:w="100" w:type="dxa"/>
              <w:right w:w="100" w:type="dxa"/>
            </w:tcMar>
            <w:vAlign w:val="center"/>
          </w:tcPr>
          <w:p w14:paraId="626FB96D" w14:textId="77777777" w:rsidR="00DD283C" w:rsidRDefault="00DD283C" w:rsidP="005E78B0">
            <w:pPr>
              <w:widowControl w:val="0"/>
              <w:pBdr>
                <w:top w:val="nil"/>
                <w:left w:val="nil"/>
                <w:bottom w:val="nil"/>
                <w:right w:val="nil"/>
                <w:between w:val="nil"/>
              </w:pBdr>
              <w:spacing w:before="0" w:after="0" w:line="240" w:lineRule="auto"/>
              <w:jc w:val="center"/>
              <w:rPr>
                <w:rFonts w:ascii="Calibri" w:eastAsia="Calibri" w:hAnsi="Calibri" w:cs="Calibri"/>
                <w:b/>
                <w:bCs/>
                <w:sz w:val="24"/>
                <w:szCs w:val="24"/>
              </w:rPr>
            </w:pPr>
            <w:r>
              <w:rPr>
                <w:rFonts w:ascii="Calibri" w:eastAsia="Calibri" w:hAnsi="Calibri" w:cs="Calibri"/>
                <w:b/>
                <w:bCs/>
                <w:sz w:val="24"/>
                <w:szCs w:val="24"/>
              </w:rPr>
              <w:t>67</w:t>
            </w:r>
          </w:p>
        </w:tc>
        <w:tc>
          <w:tcPr>
            <w:tcW w:w="747" w:type="pct"/>
            <w:tcBorders>
              <w:top w:val="single" w:sz="8" w:space="0" w:color="4A86E8"/>
            </w:tcBorders>
            <w:tcMar>
              <w:top w:w="100" w:type="dxa"/>
              <w:left w:w="100" w:type="dxa"/>
              <w:bottom w:w="100" w:type="dxa"/>
              <w:right w:w="100" w:type="dxa"/>
            </w:tcMar>
            <w:vAlign w:val="center"/>
          </w:tcPr>
          <w:p w14:paraId="7329663B" w14:textId="77777777" w:rsidR="00DD283C" w:rsidRDefault="00DD283C" w:rsidP="005E78B0">
            <w:pPr>
              <w:widowControl w:val="0"/>
              <w:pBdr>
                <w:top w:val="nil"/>
                <w:left w:val="nil"/>
                <w:bottom w:val="nil"/>
                <w:right w:val="nil"/>
                <w:between w:val="nil"/>
              </w:pBdr>
              <w:spacing w:before="0" w:after="0" w:line="240" w:lineRule="auto"/>
              <w:jc w:val="center"/>
              <w:rPr>
                <w:rFonts w:ascii="Calibri" w:eastAsia="Calibri" w:hAnsi="Calibri" w:cs="Calibri"/>
                <w:b/>
                <w:bCs/>
                <w:sz w:val="24"/>
                <w:szCs w:val="24"/>
              </w:rPr>
            </w:pPr>
            <w:r>
              <w:rPr>
                <w:rFonts w:ascii="Calibri" w:eastAsia="Calibri" w:hAnsi="Calibri" w:cs="Calibri"/>
                <w:b/>
                <w:bCs/>
                <w:sz w:val="24"/>
                <w:szCs w:val="24"/>
              </w:rPr>
              <w:t>56</w:t>
            </w:r>
          </w:p>
        </w:tc>
        <w:tc>
          <w:tcPr>
            <w:tcW w:w="787" w:type="pct"/>
            <w:tcBorders>
              <w:top w:val="single" w:sz="8" w:space="0" w:color="4A86E8"/>
            </w:tcBorders>
            <w:tcMar>
              <w:top w:w="100" w:type="dxa"/>
              <w:left w:w="100" w:type="dxa"/>
              <w:bottom w:w="100" w:type="dxa"/>
              <w:right w:w="100" w:type="dxa"/>
            </w:tcMar>
            <w:vAlign w:val="center"/>
          </w:tcPr>
          <w:p w14:paraId="1643EB42" w14:textId="77777777" w:rsidR="00DD283C" w:rsidRDefault="00DD283C" w:rsidP="005E78B0">
            <w:pPr>
              <w:widowControl w:val="0"/>
              <w:pBdr>
                <w:top w:val="nil"/>
                <w:left w:val="nil"/>
                <w:bottom w:val="nil"/>
                <w:right w:val="nil"/>
                <w:between w:val="nil"/>
              </w:pBdr>
              <w:spacing w:before="0" w:after="0" w:line="240" w:lineRule="auto"/>
              <w:jc w:val="center"/>
              <w:rPr>
                <w:rFonts w:ascii="Calibri" w:eastAsia="Calibri" w:hAnsi="Calibri" w:cs="Calibri"/>
                <w:b/>
                <w:bCs/>
                <w:sz w:val="24"/>
                <w:szCs w:val="24"/>
              </w:rPr>
            </w:pPr>
            <w:r>
              <w:rPr>
                <w:rFonts w:ascii="Calibri" w:eastAsia="Calibri" w:hAnsi="Calibri" w:cs="Calibri"/>
                <w:b/>
                <w:bCs/>
                <w:sz w:val="24"/>
                <w:szCs w:val="24"/>
              </w:rPr>
              <w:t>44</w:t>
            </w:r>
          </w:p>
        </w:tc>
        <w:tc>
          <w:tcPr>
            <w:tcW w:w="714" w:type="pct"/>
            <w:tcBorders>
              <w:top w:val="single" w:sz="8" w:space="0" w:color="4A86E8"/>
            </w:tcBorders>
            <w:tcMar>
              <w:top w:w="100" w:type="dxa"/>
              <w:left w:w="100" w:type="dxa"/>
              <w:bottom w:w="100" w:type="dxa"/>
              <w:right w:w="100" w:type="dxa"/>
            </w:tcMar>
            <w:vAlign w:val="center"/>
          </w:tcPr>
          <w:p w14:paraId="46A50656" w14:textId="77777777" w:rsidR="00DD283C" w:rsidRDefault="00DD283C" w:rsidP="005E78B0">
            <w:pPr>
              <w:widowControl w:val="0"/>
              <w:pBdr>
                <w:top w:val="nil"/>
                <w:left w:val="nil"/>
                <w:bottom w:val="nil"/>
                <w:right w:val="nil"/>
                <w:between w:val="nil"/>
              </w:pBdr>
              <w:spacing w:before="0" w:after="0" w:line="240" w:lineRule="auto"/>
              <w:jc w:val="center"/>
              <w:rPr>
                <w:rFonts w:ascii="Calibri" w:eastAsia="Calibri" w:hAnsi="Calibri" w:cs="Calibri"/>
                <w:b/>
                <w:bCs/>
                <w:sz w:val="24"/>
                <w:szCs w:val="24"/>
              </w:rPr>
            </w:pPr>
            <w:r>
              <w:rPr>
                <w:rFonts w:ascii="Calibri" w:eastAsia="Calibri" w:hAnsi="Calibri" w:cs="Calibri"/>
                <w:b/>
                <w:bCs/>
                <w:sz w:val="24"/>
                <w:szCs w:val="24"/>
              </w:rPr>
              <w:t>11</w:t>
            </w:r>
          </w:p>
        </w:tc>
        <w:tc>
          <w:tcPr>
            <w:tcW w:w="536" w:type="pct"/>
            <w:tcBorders>
              <w:top w:val="single" w:sz="8" w:space="0" w:color="4A86E8"/>
            </w:tcBorders>
            <w:tcMar>
              <w:top w:w="100" w:type="dxa"/>
              <w:left w:w="100" w:type="dxa"/>
              <w:bottom w:w="100" w:type="dxa"/>
              <w:right w:w="100" w:type="dxa"/>
            </w:tcMar>
            <w:vAlign w:val="center"/>
          </w:tcPr>
          <w:p w14:paraId="43F0F665" w14:textId="77777777" w:rsidR="00DD283C" w:rsidRDefault="00DD283C" w:rsidP="005E78B0">
            <w:pPr>
              <w:widowControl w:val="0"/>
              <w:pBdr>
                <w:top w:val="nil"/>
                <w:left w:val="nil"/>
                <w:bottom w:val="nil"/>
                <w:right w:val="nil"/>
                <w:between w:val="nil"/>
              </w:pBdr>
              <w:spacing w:before="0" w:after="0" w:line="240" w:lineRule="auto"/>
              <w:jc w:val="center"/>
              <w:rPr>
                <w:rFonts w:ascii="Calibri" w:eastAsia="Calibri" w:hAnsi="Calibri" w:cs="Calibri"/>
                <w:b/>
                <w:bCs/>
                <w:sz w:val="24"/>
                <w:szCs w:val="24"/>
              </w:rPr>
            </w:pPr>
            <w:r>
              <w:rPr>
                <w:rFonts w:ascii="Calibri" w:eastAsia="Calibri" w:hAnsi="Calibri" w:cs="Calibri"/>
                <w:b/>
                <w:bCs/>
                <w:sz w:val="24"/>
                <w:szCs w:val="24"/>
              </w:rPr>
              <w:t>14</w:t>
            </w:r>
          </w:p>
        </w:tc>
        <w:tc>
          <w:tcPr>
            <w:tcW w:w="860" w:type="pct"/>
            <w:tcBorders>
              <w:top w:val="single" w:sz="8" w:space="0" w:color="4A86E8"/>
            </w:tcBorders>
            <w:tcMar>
              <w:top w:w="100" w:type="dxa"/>
              <w:left w:w="100" w:type="dxa"/>
              <w:bottom w:w="100" w:type="dxa"/>
              <w:right w:w="100" w:type="dxa"/>
            </w:tcMar>
            <w:vAlign w:val="center"/>
          </w:tcPr>
          <w:p w14:paraId="0E2962C7" w14:textId="1D893130" w:rsidR="00DD283C" w:rsidRDefault="00DD283C" w:rsidP="005E78B0">
            <w:pPr>
              <w:widowControl w:val="0"/>
              <w:pBdr>
                <w:top w:val="nil"/>
                <w:left w:val="nil"/>
                <w:bottom w:val="nil"/>
                <w:right w:val="nil"/>
                <w:between w:val="nil"/>
              </w:pBdr>
              <w:spacing w:before="0" w:after="0" w:line="240" w:lineRule="auto"/>
              <w:jc w:val="center"/>
              <w:rPr>
                <w:rFonts w:ascii="Calibri" w:eastAsia="Calibri" w:hAnsi="Calibri" w:cs="Calibri"/>
                <w:b/>
                <w:bCs/>
                <w:sz w:val="24"/>
                <w:szCs w:val="24"/>
              </w:rPr>
            </w:pPr>
            <w:r>
              <w:rPr>
                <w:rFonts w:ascii="Calibri" w:eastAsia="Calibri" w:hAnsi="Calibri" w:cs="Calibri"/>
                <w:b/>
                <w:bCs/>
                <w:sz w:val="24"/>
                <w:szCs w:val="24"/>
              </w:rPr>
              <w:t>41</w:t>
            </w:r>
          </w:p>
        </w:tc>
      </w:tr>
    </w:tbl>
    <w:p w14:paraId="5498B68F" w14:textId="23416EBD" w:rsidR="00DD283C" w:rsidRDefault="007558A5" w:rsidP="00DD283C">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L</w:t>
      </w:r>
      <w:r w:rsidR="00DD283C">
        <w:rPr>
          <w:rFonts w:ascii="Calibri" w:eastAsia="Calibri" w:hAnsi="Calibri" w:cs="Calibri"/>
          <w:color w:val="000000"/>
          <w:sz w:val="24"/>
          <w:szCs w:val="24"/>
        </w:rPr>
        <w:t>abs are equipped to conduct diagnostics using traditional techniques including visual diagnostics, incubation, isolation</w:t>
      </w:r>
      <w:r w:rsidR="000A7E29">
        <w:rPr>
          <w:rFonts w:ascii="Calibri" w:eastAsia="Calibri" w:hAnsi="Calibri" w:cs="Calibri"/>
          <w:color w:val="000000"/>
          <w:sz w:val="24"/>
          <w:szCs w:val="24"/>
        </w:rPr>
        <w:t>,</w:t>
      </w:r>
      <w:r w:rsidR="00DD283C">
        <w:rPr>
          <w:rFonts w:ascii="Calibri" w:eastAsia="Calibri" w:hAnsi="Calibri" w:cs="Calibri"/>
          <w:color w:val="000000"/>
          <w:sz w:val="24"/>
          <w:szCs w:val="24"/>
        </w:rPr>
        <w:t xml:space="preserve"> and microscopy. In addition, labs have capability for </w:t>
      </w:r>
      <w:r>
        <w:rPr>
          <w:rFonts w:ascii="Calibri" w:eastAsia="Calibri" w:hAnsi="Calibri" w:cs="Calibri"/>
          <w:color w:val="000000"/>
          <w:sz w:val="24"/>
          <w:szCs w:val="24"/>
        </w:rPr>
        <w:t xml:space="preserve">basic and advanced </w:t>
      </w:r>
      <w:r w:rsidR="00DD283C">
        <w:rPr>
          <w:rFonts w:ascii="Calibri" w:eastAsia="Calibri" w:hAnsi="Calibri" w:cs="Calibri"/>
          <w:color w:val="000000"/>
          <w:sz w:val="24"/>
          <w:szCs w:val="24"/>
        </w:rPr>
        <w:t>molecular diagnostic techniques and other specialized tests listed below.</w:t>
      </w:r>
    </w:p>
    <w:tbl>
      <w:tblPr>
        <w:tblStyle w:val="a0"/>
        <w:tblW w:w="5000" w:type="pct"/>
        <w:jc w:val="center"/>
        <w:tblLook w:val="0420" w:firstRow="1" w:lastRow="0" w:firstColumn="0" w:lastColumn="0" w:noHBand="0" w:noVBand="1"/>
      </w:tblPr>
      <w:tblGrid>
        <w:gridCol w:w="5434"/>
        <w:gridCol w:w="3926"/>
      </w:tblGrid>
      <w:tr w:rsidR="00DD283C" w14:paraId="72FDF084" w14:textId="77777777" w:rsidTr="00117F13">
        <w:trPr>
          <w:trHeight w:val="378"/>
          <w:jc w:val="center"/>
        </w:trPr>
        <w:tc>
          <w:tcPr>
            <w:tcW w:w="2903" w:type="pct"/>
            <w:tcBorders>
              <w:top w:val="nil"/>
              <w:left w:val="nil"/>
              <w:bottom w:val="single" w:sz="4" w:space="0" w:color="4A86E8"/>
              <w:right w:val="nil"/>
            </w:tcBorders>
            <w:vAlign w:val="bottom"/>
          </w:tcPr>
          <w:p w14:paraId="01A07A53"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Diagnostic Method Category</w:t>
            </w:r>
          </w:p>
        </w:tc>
        <w:tc>
          <w:tcPr>
            <w:tcW w:w="2097" w:type="pct"/>
            <w:tcBorders>
              <w:top w:val="nil"/>
              <w:left w:val="nil"/>
              <w:bottom w:val="single" w:sz="4" w:space="0" w:color="4A86E8"/>
              <w:right w:val="nil"/>
            </w:tcBorders>
            <w:vAlign w:val="bottom"/>
          </w:tcPr>
          <w:p w14:paraId="048164A0"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Number of NPDN lab providers</w:t>
            </w:r>
          </w:p>
        </w:tc>
      </w:tr>
      <w:tr w:rsidR="00DD283C" w14:paraId="38AF22F0" w14:textId="77777777" w:rsidTr="00264D37">
        <w:trPr>
          <w:trHeight w:val="300"/>
          <w:jc w:val="center"/>
        </w:trPr>
        <w:tc>
          <w:tcPr>
            <w:tcW w:w="2903" w:type="pct"/>
            <w:tcBorders>
              <w:top w:val="single" w:sz="4" w:space="0" w:color="4A86E8"/>
              <w:left w:val="nil"/>
              <w:bottom w:val="nil"/>
              <w:right w:val="nil"/>
            </w:tcBorders>
            <w:vAlign w:val="bottom"/>
          </w:tcPr>
          <w:p w14:paraId="1300EB9A"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Conventional PCR</w:t>
            </w:r>
          </w:p>
        </w:tc>
        <w:tc>
          <w:tcPr>
            <w:tcW w:w="2097" w:type="pct"/>
            <w:tcBorders>
              <w:top w:val="single" w:sz="4" w:space="0" w:color="4A86E8"/>
              <w:left w:val="nil"/>
              <w:bottom w:val="nil"/>
              <w:right w:val="nil"/>
            </w:tcBorders>
            <w:vAlign w:val="bottom"/>
          </w:tcPr>
          <w:p w14:paraId="255B3FE6" w14:textId="77777777" w:rsidR="00DD283C" w:rsidRDefault="00DD283C" w:rsidP="00B76F99">
            <w:pP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5</w:t>
            </w:r>
            <w:r>
              <w:rPr>
                <w:rFonts w:ascii="Calibri" w:eastAsia="Calibri" w:hAnsi="Calibri" w:cs="Calibri"/>
                <w:b/>
                <w:bCs/>
                <w:sz w:val="24"/>
                <w:szCs w:val="24"/>
              </w:rPr>
              <w:t>7</w:t>
            </w:r>
          </w:p>
        </w:tc>
      </w:tr>
      <w:tr w:rsidR="00DD283C" w14:paraId="3D522A54" w14:textId="77777777" w:rsidTr="00264D37">
        <w:trPr>
          <w:trHeight w:val="300"/>
          <w:jc w:val="center"/>
        </w:trPr>
        <w:tc>
          <w:tcPr>
            <w:tcW w:w="2903" w:type="pct"/>
            <w:tcBorders>
              <w:top w:val="nil"/>
              <w:left w:val="nil"/>
              <w:bottom w:val="nil"/>
              <w:right w:val="nil"/>
            </w:tcBorders>
            <w:vAlign w:val="bottom"/>
          </w:tcPr>
          <w:p w14:paraId="31DC167F"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Real-time PCR</w:t>
            </w:r>
          </w:p>
        </w:tc>
        <w:tc>
          <w:tcPr>
            <w:tcW w:w="2097" w:type="pct"/>
            <w:tcBorders>
              <w:top w:val="nil"/>
              <w:left w:val="nil"/>
              <w:bottom w:val="nil"/>
              <w:right w:val="nil"/>
            </w:tcBorders>
            <w:vAlign w:val="bottom"/>
          </w:tcPr>
          <w:p w14:paraId="6357E0A6" w14:textId="77777777" w:rsidR="00DD283C" w:rsidRDefault="00DD283C" w:rsidP="00B76F99">
            <w:pP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50</w:t>
            </w:r>
          </w:p>
        </w:tc>
      </w:tr>
      <w:tr w:rsidR="00DD283C" w14:paraId="3E17521F" w14:textId="77777777" w:rsidTr="00264D37">
        <w:trPr>
          <w:trHeight w:val="300"/>
          <w:jc w:val="center"/>
        </w:trPr>
        <w:tc>
          <w:tcPr>
            <w:tcW w:w="2903" w:type="pct"/>
            <w:tcBorders>
              <w:top w:val="nil"/>
              <w:left w:val="nil"/>
              <w:bottom w:val="nil"/>
              <w:right w:val="nil"/>
            </w:tcBorders>
            <w:vAlign w:val="bottom"/>
          </w:tcPr>
          <w:p w14:paraId="142EB32F"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ELISA</w:t>
            </w:r>
          </w:p>
        </w:tc>
        <w:tc>
          <w:tcPr>
            <w:tcW w:w="2097" w:type="pct"/>
            <w:tcBorders>
              <w:top w:val="nil"/>
              <w:left w:val="nil"/>
              <w:bottom w:val="nil"/>
              <w:right w:val="nil"/>
            </w:tcBorders>
            <w:vAlign w:val="bottom"/>
          </w:tcPr>
          <w:p w14:paraId="5E9CBD4E" w14:textId="77777777" w:rsidR="00DD283C" w:rsidRDefault="00DD283C" w:rsidP="00B76F99">
            <w:pP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5</w:t>
            </w:r>
            <w:r>
              <w:rPr>
                <w:rFonts w:ascii="Calibri" w:eastAsia="Calibri" w:hAnsi="Calibri" w:cs="Calibri"/>
                <w:b/>
                <w:bCs/>
                <w:sz w:val="24"/>
                <w:szCs w:val="24"/>
              </w:rPr>
              <w:t>6</w:t>
            </w:r>
          </w:p>
        </w:tc>
      </w:tr>
      <w:tr w:rsidR="00DD283C" w14:paraId="48D0C739" w14:textId="77777777" w:rsidTr="00264D37">
        <w:trPr>
          <w:trHeight w:val="300"/>
          <w:jc w:val="center"/>
        </w:trPr>
        <w:tc>
          <w:tcPr>
            <w:tcW w:w="2903" w:type="pct"/>
            <w:tcBorders>
              <w:top w:val="nil"/>
              <w:left w:val="nil"/>
              <w:bottom w:val="nil"/>
              <w:right w:val="nil"/>
            </w:tcBorders>
            <w:vAlign w:val="bottom"/>
          </w:tcPr>
          <w:p w14:paraId="1FB6419C"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Basic DNA sequencing</w:t>
            </w:r>
          </w:p>
        </w:tc>
        <w:tc>
          <w:tcPr>
            <w:tcW w:w="2097" w:type="pct"/>
            <w:tcBorders>
              <w:top w:val="nil"/>
              <w:left w:val="nil"/>
              <w:bottom w:val="nil"/>
              <w:right w:val="nil"/>
            </w:tcBorders>
            <w:vAlign w:val="bottom"/>
          </w:tcPr>
          <w:p w14:paraId="2DFFC90D" w14:textId="77777777" w:rsidR="00DD283C" w:rsidRDefault="00DD283C" w:rsidP="00B76F99">
            <w:pP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4</w:t>
            </w:r>
            <w:r>
              <w:rPr>
                <w:rFonts w:ascii="Calibri" w:eastAsia="Calibri" w:hAnsi="Calibri" w:cs="Calibri"/>
                <w:b/>
                <w:bCs/>
                <w:sz w:val="24"/>
                <w:szCs w:val="24"/>
              </w:rPr>
              <w:t>5</w:t>
            </w:r>
          </w:p>
        </w:tc>
      </w:tr>
      <w:tr w:rsidR="00DD283C" w14:paraId="1886976F" w14:textId="77777777" w:rsidTr="00264D37">
        <w:trPr>
          <w:trHeight w:val="300"/>
          <w:jc w:val="center"/>
        </w:trPr>
        <w:tc>
          <w:tcPr>
            <w:tcW w:w="2903" w:type="pct"/>
            <w:tcBorders>
              <w:top w:val="nil"/>
              <w:left w:val="nil"/>
              <w:bottom w:val="nil"/>
              <w:right w:val="nil"/>
            </w:tcBorders>
            <w:vAlign w:val="bottom"/>
          </w:tcPr>
          <w:p w14:paraId="0C77A4D6"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Next-generation sequencing</w:t>
            </w:r>
          </w:p>
        </w:tc>
        <w:tc>
          <w:tcPr>
            <w:tcW w:w="2097" w:type="pct"/>
            <w:tcBorders>
              <w:top w:val="nil"/>
              <w:left w:val="nil"/>
              <w:bottom w:val="nil"/>
              <w:right w:val="nil"/>
            </w:tcBorders>
            <w:vAlign w:val="bottom"/>
          </w:tcPr>
          <w:p w14:paraId="64FB5206" w14:textId="77777777" w:rsidR="00DD283C" w:rsidRDefault="00DD283C" w:rsidP="00B76F99">
            <w:pP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9</w:t>
            </w:r>
          </w:p>
        </w:tc>
      </w:tr>
      <w:tr w:rsidR="00DD283C" w14:paraId="391CE9FE" w14:textId="77777777" w:rsidTr="00264D37">
        <w:trPr>
          <w:trHeight w:val="300"/>
          <w:jc w:val="center"/>
        </w:trPr>
        <w:tc>
          <w:tcPr>
            <w:tcW w:w="2903" w:type="pct"/>
            <w:tcBorders>
              <w:top w:val="nil"/>
              <w:left w:val="nil"/>
              <w:bottom w:val="nil"/>
              <w:right w:val="nil"/>
            </w:tcBorders>
            <w:vAlign w:val="bottom"/>
          </w:tcPr>
          <w:p w14:paraId="7E6C3C56"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Isothermal amplification</w:t>
            </w:r>
          </w:p>
        </w:tc>
        <w:tc>
          <w:tcPr>
            <w:tcW w:w="2097" w:type="pct"/>
            <w:tcBorders>
              <w:top w:val="nil"/>
              <w:left w:val="nil"/>
              <w:bottom w:val="nil"/>
              <w:right w:val="nil"/>
            </w:tcBorders>
            <w:vAlign w:val="bottom"/>
          </w:tcPr>
          <w:p w14:paraId="1953A63B" w14:textId="77777777" w:rsidR="00DD283C" w:rsidRDefault="00DD283C" w:rsidP="00B76F99">
            <w:pP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39</w:t>
            </w:r>
          </w:p>
        </w:tc>
      </w:tr>
      <w:tr w:rsidR="00DD283C" w14:paraId="2135EE62" w14:textId="77777777" w:rsidTr="00264D37">
        <w:trPr>
          <w:trHeight w:val="300"/>
          <w:jc w:val="center"/>
        </w:trPr>
        <w:tc>
          <w:tcPr>
            <w:tcW w:w="2903" w:type="pct"/>
            <w:tcBorders>
              <w:top w:val="nil"/>
              <w:left w:val="nil"/>
              <w:bottom w:val="nil"/>
              <w:right w:val="nil"/>
            </w:tcBorders>
            <w:vAlign w:val="bottom"/>
          </w:tcPr>
          <w:p w14:paraId="254996D5" w14:textId="32C03DB5"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Resistance tests</w:t>
            </w:r>
          </w:p>
        </w:tc>
        <w:tc>
          <w:tcPr>
            <w:tcW w:w="2097" w:type="pct"/>
            <w:tcBorders>
              <w:top w:val="nil"/>
              <w:left w:val="nil"/>
              <w:bottom w:val="nil"/>
              <w:right w:val="nil"/>
            </w:tcBorders>
            <w:vAlign w:val="bottom"/>
          </w:tcPr>
          <w:p w14:paraId="132C2FE4" w14:textId="77777777" w:rsidR="00DD283C" w:rsidRDefault="00DD283C" w:rsidP="00B76F99">
            <w:pP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20</w:t>
            </w:r>
          </w:p>
        </w:tc>
      </w:tr>
      <w:tr w:rsidR="00DD283C" w14:paraId="2B69AA38" w14:textId="77777777" w:rsidTr="00264D37">
        <w:trPr>
          <w:trHeight w:val="300"/>
          <w:jc w:val="center"/>
        </w:trPr>
        <w:tc>
          <w:tcPr>
            <w:tcW w:w="2903" w:type="pct"/>
            <w:tcBorders>
              <w:top w:val="nil"/>
              <w:left w:val="nil"/>
              <w:bottom w:val="nil"/>
              <w:right w:val="nil"/>
            </w:tcBorders>
            <w:vAlign w:val="bottom"/>
          </w:tcPr>
          <w:p w14:paraId="2D06F40E" w14:textId="77777777" w:rsidR="00DD283C" w:rsidRDefault="00DD283C" w:rsidP="00B76F99">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Bioassay</w:t>
            </w:r>
          </w:p>
        </w:tc>
        <w:tc>
          <w:tcPr>
            <w:tcW w:w="2097" w:type="pct"/>
            <w:tcBorders>
              <w:top w:val="nil"/>
              <w:left w:val="nil"/>
              <w:bottom w:val="nil"/>
              <w:right w:val="nil"/>
            </w:tcBorders>
            <w:vAlign w:val="bottom"/>
          </w:tcPr>
          <w:p w14:paraId="7ECD7760" w14:textId="77777777" w:rsidR="00DD283C" w:rsidRDefault="00DD283C" w:rsidP="00B76F99">
            <w:pP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3</w:t>
            </w:r>
            <w:r>
              <w:rPr>
                <w:rFonts w:ascii="Calibri" w:eastAsia="Calibri" w:hAnsi="Calibri" w:cs="Calibri"/>
                <w:b/>
                <w:bCs/>
                <w:sz w:val="24"/>
                <w:szCs w:val="24"/>
              </w:rPr>
              <w:t>8</w:t>
            </w:r>
          </w:p>
        </w:tc>
      </w:tr>
    </w:tbl>
    <w:p w14:paraId="10C97169" w14:textId="4B20961E" w:rsidR="00C90320" w:rsidRDefault="004B69F0"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L</w:t>
      </w:r>
      <w:r w:rsidR="00DD283C">
        <w:rPr>
          <w:rFonts w:ascii="Calibri" w:eastAsia="Calibri" w:hAnsi="Calibri" w:cs="Calibri"/>
          <w:color w:val="000000"/>
          <w:sz w:val="24"/>
          <w:szCs w:val="24"/>
        </w:rPr>
        <w:t xml:space="preserve">abs make extensive use of the network to </w:t>
      </w:r>
      <w:r w:rsidR="001722CF">
        <w:rPr>
          <w:rFonts w:ascii="Calibri" w:eastAsia="Calibri" w:hAnsi="Calibri" w:cs="Calibri"/>
          <w:color w:val="000000"/>
          <w:sz w:val="24"/>
          <w:szCs w:val="24"/>
        </w:rPr>
        <w:t xml:space="preserve">access </w:t>
      </w:r>
      <w:r w:rsidR="00E2518B">
        <w:rPr>
          <w:rFonts w:ascii="Calibri" w:eastAsia="Calibri" w:hAnsi="Calibri" w:cs="Calibri"/>
          <w:color w:val="000000"/>
          <w:sz w:val="24"/>
          <w:szCs w:val="24"/>
        </w:rPr>
        <w:t xml:space="preserve">additional </w:t>
      </w:r>
      <w:r w:rsidR="00DD283C">
        <w:rPr>
          <w:rFonts w:ascii="Calibri" w:eastAsia="Calibri" w:hAnsi="Calibri" w:cs="Calibri"/>
          <w:color w:val="000000"/>
          <w:sz w:val="24"/>
          <w:szCs w:val="24"/>
        </w:rPr>
        <w:t>diagnostic expertise.</w:t>
      </w:r>
      <w:r w:rsidR="00264D37">
        <w:rPr>
          <w:rFonts w:ascii="Calibri" w:eastAsia="Calibri" w:hAnsi="Calibri" w:cs="Calibri"/>
          <w:color w:val="000000"/>
          <w:sz w:val="24"/>
          <w:szCs w:val="24"/>
        </w:rPr>
        <w:t xml:space="preserve"> </w:t>
      </w:r>
    </w:p>
    <w:p w14:paraId="02F450BD" w14:textId="1284EECA" w:rsidR="00DD283C" w:rsidRDefault="00DD283C"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color w:val="000000"/>
          <w:sz w:val="24"/>
          <w:szCs w:val="24"/>
        </w:rPr>
        <w:t>5</w:t>
      </w:r>
      <w:r>
        <w:rPr>
          <w:rFonts w:ascii="Calibri" w:eastAsia="Calibri" w:hAnsi="Calibri" w:cs="Calibri"/>
          <w:b/>
          <w:bCs/>
          <w:sz w:val="24"/>
          <w:szCs w:val="24"/>
        </w:rPr>
        <w:t>9</w:t>
      </w:r>
      <w:r>
        <w:rPr>
          <w:rFonts w:ascii="Calibri" w:eastAsia="Calibri" w:hAnsi="Calibri" w:cs="Calibri"/>
          <w:color w:val="000000"/>
          <w:sz w:val="24"/>
          <w:szCs w:val="24"/>
        </w:rPr>
        <w:t xml:space="preserve"> NPDN labs (</w:t>
      </w:r>
      <w:r>
        <w:rPr>
          <w:rFonts w:ascii="Calibri" w:eastAsia="Calibri" w:hAnsi="Calibri" w:cs="Calibri"/>
          <w:b/>
          <w:bCs/>
          <w:sz w:val="24"/>
          <w:szCs w:val="24"/>
        </w:rPr>
        <w:t>83</w:t>
      </w:r>
      <w:r>
        <w:rPr>
          <w:rFonts w:ascii="Calibri" w:eastAsia="Calibri" w:hAnsi="Calibri" w:cs="Calibri"/>
          <w:b/>
          <w:bCs/>
          <w:color w:val="000000"/>
          <w:sz w:val="24"/>
          <w:szCs w:val="24"/>
        </w:rPr>
        <w:t>%</w:t>
      </w:r>
      <w:r>
        <w:rPr>
          <w:rFonts w:ascii="Calibri" w:eastAsia="Calibri" w:hAnsi="Calibri" w:cs="Calibri"/>
          <w:color w:val="000000"/>
          <w:sz w:val="24"/>
          <w:szCs w:val="24"/>
        </w:rPr>
        <w:t>) can receive referral samples from other labs.</w:t>
      </w:r>
    </w:p>
    <w:p w14:paraId="4000D699" w14:textId="77777777" w:rsidR="002E44CA" w:rsidRPr="002E44CA" w:rsidRDefault="002E44CA" w:rsidP="002E44CA">
      <w:pPr>
        <w:pStyle w:val="Heading3"/>
        <w:rPr>
          <w:lang w:val="en-US"/>
        </w:rPr>
      </w:pPr>
      <w:r w:rsidRPr="002E44CA">
        <w:rPr>
          <w:lang w:val="en-US"/>
        </w:rPr>
        <w:lastRenderedPageBreak/>
        <w:t>Diagnostic capacity</w:t>
      </w:r>
    </w:p>
    <w:p w14:paraId="1CDF87CF" w14:textId="59F1E9D2" w:rsidR="00DD283C" w:rsidRDefault="00EE3E90" w:rsidP="002C1F20">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NPDN’s extensive network of labs</w:t>
      </w:r>
      <w:r w:rsidRPr="00EE3E90">
        <w:rPr>
          <w:rFonts w:ascii="Calibri" w:eastAsia="Calibri" w:hAnsi="Calibri" w:cs="Calibri"/>
          <w:color w:val="000000"/>
          <w:sz w:val="24"/>
          <w:szCs w:val="24"/>
        </w:rPr>
        <w:t xml:space="preserve"> </w:t>
      </w:r>
      <w:r>
        <w:rPr>
          <w:rFonts w:ascii="Calibri" w:eastAsia="Calibri" w:hAnsi="Calibri" w:cs="Calibri"/>
          <w:color w:val="000000"/>
          <w:sz w:val="24"/>
          <w:szCs w:val="24"/>
        </w:rPr>
        <w:t>processed</w:t>
      </w:r>
      <w:r>
        <w:rPr>
          <w:rFonts w:ascii="Calibri" w:eastAsia="Calibri" w:hAnsi="Calibri" w:cs="Calibri"/>
          <w:b/>
          <w:bCs/>
          <w:sz w:val="24"/>
          <w:szCs w:val="24"/>
        </w:rPr>
        <w:t xml:space="preserve"> </w:t>
      </w:r>
      <w:r w:rsidR="002E44CA">
        <w:rPr>
          <w:rFonts w:ascii="Calibri" w:eastAsia="Calibri" w:hAnsi="Calibri" w:cs="Calibri"/>
          <w:b/>
          <w:bCs/>
          <w:sz w:val="24"/>
          <w:szCs w:val="24"/>
        </w:rPr>
        <w:t>184,994</w:t>
      </w:r>
      <w:r w:rsidR="002E44CA">
        <w:rPr>
          <w:rFonts w:ascii="Calibri" w:eastAsia="Calibri" w:hAnsi="Calibri" w:cs="Calibri"/>
          <w:color w:val="000000"/>
          <w:sz w:val="24"/>
          <w:szCs w:val="24"/>
        </w:rPr>
        <w:t xml:space="preserve"> samples</w:t>
      </w:r>
      <w:r>
        <w:rPr>
          <w:rFonts w:ascii="Calibri" w:eastAsia="Calibri" w:hAnsi="Calibri" w:cs="Calibri"/>
          <w:color w:val="000000"/>
          <w:sz w:val="24"/>
          <w:szCs w:val="24"/>
        </w:rPr>
        <w:t xml:space="preserve"> in 2025</w:t>
      </w:r>
      <w:r w:rsidR="002E44CA">
        <w:rPr>
          <w:rFonts w:ascii="Calibri" w:eastAsia="Calibri" w:hAnsi="Calibri" w:cs="Calibri"/>
          <w:color w:val="000000"/>
          <w:sz w:val="24"/>
          <w:szCs w:val="24"/>
        </w:rPr>
        <w:t>.</w:t>
      </w:r>
      <w:r w:rsidR="00685663">
        <w:rPr>
          <w:rFonts w:ascii="Calibri" w:eastAsia="Calibri" w:hAnsi="Calibri" w:cs="Calibri"/>
          <w:color w:val="000000"/>
          <w:sz w:val="24"/>
          <w:szCs w:val="24"/>
        </w:rPr>
        <w:t xml:space="preserve"> In the event of an emergency this </w:t>
      </w:r>
      <w:r w:rsidR="009B430F">
        <w:rPr>
          <w:rFonts w:ascii="Calibri" w:eastAsia="Calibri" w:hAnsi="Calibri" w:cs="Calibri"/>
          <w:color w:val="000000"/>
          <w:sz w:val="24"/>
          <w:szCs w:val="24"/>
        </w:rPr>
        <w:t>diagnostic capacity can be tapped to provide surge support.</w:t>
      </w:r>
    </w:p>
    <w:p w14:paraId="7FF04F50" w14:textId="77777777" w:rsidR="006B2D01" w:rsidRDefault="005F5B75" w:rsidP="002C1F20">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In addition, some labs </w:t>
      </w:r>
      <w:r w:rsidR="00571B06">
        <w:rPr>
          <w:rFonts w:ascii="Calibri" w:eastAsia="Calibri" w:hAnsi="Calibri" w:cs="Calibri"/>
          <w:color w:val="000000"/>
          <w:sz w:val="24"/>
          <w:szCs w:val="24"/>
        </w:rPr>
        <w:t xml:space="preserve">are equipped to </w:t>
      </w:r>
      <w:r>
        <w:rPr>
          <w:rFonts w:ascii="Calibri" w:eastAsia="Calibri" w:hAnsi="Calibri" w:cs="Calibri"/>
          <w:color w:val="000000"/>
          <w:sz w:val="24"/>
          <w:szCs w:val="24"/>
        </w:rPr>
        <w:t>provide specific support for organisms of concern.</w:t>
      </w:r>
    </w:p>
    <w:p w14:paraId="2DAEFD85" w14:textId="411F9C8F" w:rsidR="005F5B75" w:rsidRDefault="008171B9" w:rsidP="002C1F20">
      <w:pPr>
        <w:pBdr>
          <w:top w:val="nil"/>
          <w:left w:val="nil"/>
          <w:bottom w:val="nil"/>
          <w:right w:val="nil"/>
          <w:between w:val="nil"/>
        </w:pBdr>
        <w:spacing w:after="120" w:line="264" w:lineRule="auto"/>
        <w:rPr>
          <w:rFonts w:ascii="Calibri" w:eastAsia="Calibri" w:hAnsi="Calibri" w:cs="Calibri"/>
          <w:color w:val="000000"/>
          <w:sz w:val="24"/>
          <w:szCs w:val="24"/>
        </w:rPr>
      </w:pPr>
      <w:r w:rsidRPr="008171B9">
        <w:rPr>
          <w:rFonts w:ascii="Calibri" w:eastAsia="Calibri" w:hAnsi="Calibri" w:cs="Calibri"/>
          <w:color w:val="000000"/>
          <w:sz w:val="24"/>
          <w:szCs w:val="24"/>
        </w:rPr>
        <w:t>Number of NPDN labs with surge support capability for organisms of concern</w:t>
      </w:r>
      <w:r w:rsidR="006B2D01">
        <w:rPr>
          <w:rFonts w:ascii="Calibri" w:eastAsia="Calibri" w:hAnsi="Calibri" w:cs="Calibri"/>
          <w:color w:val="000000"/>
          <w:sz w:val="24"/>
          <w:szCs w:val="24"/>
        </w:rPr>
        <w:t>:</w:t>
      </w:r>
    </w:p>
    <w:tbl>
      <w:tblPr>
        <w:tblStyle w:val="a1"/>
        <w:tblW w:w="5000" w:type="pct"/>
        <w:jc w:val="center"/>
        <w:tblLook w:val="0420" w:firstRow="1" w:lastRow="0" w:firstColumn="0" w:lastColumn="0" w:noHBand="0" w:noVBand="1"/>
      </w:tblPr>
      <w:tblGrid>
        <w:gridCol w:w="3120"/>
        <w:gridCol w:w="3121"/>
        <w:gridCol w:w="3119"/>
      </w:tblGrid>
      <w:tr w:rsidR="002C1F20" w14:paraId="4C56EC6F" w14:textId="77777777" w:rsidTr="00264D37">
        <w:trPr>
          <w:trHeight w:val="285"/>
          <w:jc w:val="center"/>
        </w:trPr>
        <w:tc>
          <w:tcPr>
            <w:tcW w:w="1667" w:type="pct"/>
            <w:tcBorders>
              <w:left w:val="nil"/>
              <w:bottom w:val="single" w:sz="4" w:space="0" w:color="0897F7" w:themeColor="accent6"/>
              <w:right w:val="nil"/>
            </w:tcBorders>
            <w:vAlign w:val="center"/>
          </w:tcPr>
          <w:p w14:paraId="1E124886" w14:textId="77777777" w:rsidR="002C1F20" w:rsidRPr="00264D37"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r w:rsidRPr="00264D37">
              <w:rPr>
                <w:rFonts w:ascii="Calibri" w:eastAsia="Calibri" w:hAnsi="Calibri" w:cs="Calibri"/>
                <w:color w:val="000000"/>
                <w:sz w:val="24"/>
                <w:szCs w:val="24"/>
              </w:rPr>
              <w:t>Regulated organism</w:t>
            </w:r>
          </w:p>
        </w:tc>
        <w:tc>
          <w:tcPr>
            <w:tcW w:w="1667" w:type="pct"/>
            <w:tcBorders>
              <w:left w:val="nil"/>
              <w:bottom w:val="single" w:sz="4" w:space="0" w:color="0897F7" w:themeColor="accent6"/>
              <w:right w:val="nil"/>
            </w:tcBorders>
            <w:vAlign w:val="center"/>
          </w:tcPr>
          <w:p w14:paraId="3E74ED4F" w14:textId="77777777" w:rsidR="002C1F20" w:rsidRPr="00264D37"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r w:rsidRPr="00264D37">
              <w:rPr>
                <w:rFonts w:ascii="Calibri" w:eastAsia="Calibri" w:hAnsi="Calibri" w:cs="Calibri"/>
                <w:color w:val="000000"/>
                <w:sz w:val="24"/>
                <w:szCs w:val="24"/>
              </w:rPr>
              <w:t>Full capability</w:t>
            </w:r>
          </w:p>
        </w:tc>
        <w:tc>
          <w:tcPr>
            <w:tcW w:w="1667" w:type="pct"/>
            <w:tcBorders>
              <w:left w:val="nil"/>
              <w:bottom w:val="single" w:sz="4" w:space="0" w:color="0897F7" w:themeColor="accent6"/>
              <w:right w:val="nil"/>
            </w:tcBorders>
            <w:vAlign w:val="center"/>
          </w:tcPr>
          <w:p w14:paraId="26C0C51F" w14:textId="77777777" w:rsidR="002C1F20" w:rsidRPr="00264D37"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r w:rsidRPr="00264D37">
              <w:rPr>
                <w:rFonts w:ascii="Calibri" w:eastAsia="Calibri" w:hAnsi="Calibri" w:cs="Calibri"/>
                <w:color w:val="000000"/>
                <w:sz w:val="24"/>
                <w:szCs w:val="24"/>
              </w:rPr>
              <w:t>Some capability</w:t>
            </w:r>
          </w:p>
        </w:tc>
      </w:tr>
      <w:tr w:rsidR="002C1F20" w14:paraId="28127649" w14:textId="77777777" w:rsidTr="00264D37">
        <w:trPr>
          <w:trHeight w:val="285"/>
          <w:jc w:val="center"/>
        </w:trPr>
        <w:tc>
          <w:tcPr>
            <w:tcW w:w="1667" w:type="pct"/>
            <w:tcBorders>
              <w:top w:val="single" w:sz="4" w:space="0" w:color="0897F7" w:themeColor="accent6"/>
              <w:left w:val="nil"/>
              <w:bottom w:val="nil"/>
              <w:right w:val="nil"/>
            </w:tcBorders>
            <w:vAlign w:val="center"/>
          </w:tcPr>
          <w:p w14:paraId="3DB944AD"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proofErr w:type="spellStart"/>
            <w:r w:rsidRPr="00AF3170">
              <w:rPr>
                <w:rFonts w:ascii="Calibri" w:eastAsia="Calibri" w:hAnsi="Calibri" w:cs="Calibri"/>
                <w:i/>
                <w:iCs/>
                <w:color w:val="000000"/>
                <w:sz w:val="24"/>
                <w:szCs w:val="24"/>
              </w:rPr>
              <w:t>Phythophtora</w:t>
            </w:r>
            <w:proofErr w:type="spellEnd"/>
            <w:r w:rsidRPr="00AF3170">
              <w:rPr>
                <w:rFonts w:ascii="Calibri" w:eastAsia="Calibri" w:hAnsi="Calibri" w:cs="Calibri"/>
                <w:i/>
                <w:iCs/>
                <w:color w:val="000000"/>
                <w:sz w:val="24"/>
                <w:szCs w:val="24"/>
              </w:rPr>
              <w:t xml:space="preserve"> </w:t>
            </w:r>
            <w:proofErr w:type="spellStart"/>
            <w:r w:rsidRPr="00AF3170">
              <w:rPr>
                <w:rFonts w:ascii="Calibri" w:eastAsia="Calibri" w:hAnsi="Calibri" w:cs="Calibri"/>
                <w:i/>
                <w:iCs/>
                <w:color w:val="000000"/>
                <w:sz w:val="24"/>
                <w:szCs w:val="24"/>
              </w:rPr>
              <w:t>ramorum</w:t>
            </w:r>
            <w:proofErr w:type="spellEnd"/>
            <w:r>
              <w:rPr>
                <w:rFonts w:ascii="Calibri" w:eastAsia="Calibri" w:hAnsi="Calibri" w:cs="Calibri"/>
                <w:color w:val="000000"/>
                <w:sz w:val="24"/>
                <w:szCs w:val="24"/>
              </w:rPr>
              <w:t xml:space="preserve"> ELISA</w:t>
            </w:r>
          </w:p>
        </w:tc>
        <w:tc>
          <w:tcPr>
            <w:tcW w:w="1667" w:type="pct"/>
            <w:tcBorders>
              <w:top w:val="single" w:sz="4" w:space="0" w:color="0897F7" w:themeColor="accent6"/>
              <w:left w:val="nil"/>
              <w:bottom w:val="nil"/>
              <w:right w:val="nil"/>
            </w:tcBorders>
            <w:vAlign w:val="center"/>
          </w:tcPr>
          <w:p w14:paraId="078C7F56"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2</w:t>
            </w:r>
            <w:r>
              <w:rPr>
                <w:rFonts w:ascii="Calibri" w:eastAsia="Calibri" w:hAnsi="Calibri" w:cs="Calibri"/>
                <w:b/>
                <w:bCs/>
                <w:sz w:val="24"/>
                <w:szCs w:val="24"/>
              </w:rPr>
              <w:t>7</w:t>
            </w:r>
          </w:p>
        </w:tc>
        <w:tc>
          <w:tcPr>
            <w:tcW w:w="1667" w:type="pct"/>
            <w:tcBorders>
              <w:top w:val="single" w:sz="4" w:space="0" w:color="0897F7" w:themeColor="accent6"/>
              <w:left w:val="nil"/>
              <w:bottom w:val="nil"/>
              <w:right w:val="nil"/>
            </w:tcBorders>
            <w:vAlign w:val="center"/>
          </w:tcPr>
          <w:p w14:paraId="33FDBB98"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1</w:t>
            </w:r>
            <w:r>
              <w:rPr>
                <w:rFonts w:ascii="Calibri" w:eastAsia="Calibri" w:hAnsi="Calibri" w:cs="Calibri"/>
                <w:b/>
                <w:bCs/>
                <w:sz w:val="24"/>
                <w:szCs w:val="24"/>
              </w:rPr>
              <w:t>6</w:t>
            </w:r>
          </w:p>
        </w:tc>
      </w:tr>
      <w:tr w:rsidR="002C1F20" w14:paraId="58B08D02" w14:textId="77777777" w:rsidTr="00264D37">
        <w:trPr>
          <w:trHeight w:val="285"/>
          <w:jc w:val="center"/>
        </w:trPr>
        <w:tc>
          <w:tcPr>
            <w:tcW w:w="1667" w:type="pct"/>
            <w:tcBorders>
              <w:top w:val="nil"/>
              <w:left w:val="nil"/>
              <w:bottom w:val="nil"/>
              <w:right w:val="nil"/>
            </w:tcBorders>
            <w:vAlign w:val="center"/>
          </w:tcPr>
          <w:p w14:paraId="67508D9B"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Plum Pox Virus ELISA</w:t>
            </w:r>
          </w:p>
        </w:tc>
        <w:tc>
          <w:tcPr>
            <w:tcW w:w="1667" w:type="pct"/>
            <w:tcBorders>
              <w:top w:val="nil"/>
              <w:left w:val="nil"/>
              <w:bottom w:val="nil"/>
              <w:right w:val="nil"/>
            </w:tcBorders>
            <w:vAlign w:val="center"/>
          </w:tcPr>
          <w:p w14:paraId="18557144"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22</w:t>
            </w:r>
          </w:p>
        </w:tc>
        <w:tc>
          <w:tcPr>
            <w:tcW w:w="1667" w:type="pct"/>
            <w:tcBorders>
              <w:top w:val="nil"/>
              <w:left w:val="nil"/>
              <w:bottom w:val="nil"/>
              <w:right w:val="nil"/>
            </w:tcBorders>
            <w:vAlign w:val="center"/>
          </w:tcPr>
          <w:p w14:paraId="20E6FE25"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14</w:t>
            </w:r>
          </w:p>
        </w:tc>
      </w:tr>
      <w:tr w:rsidR="002C1F20" w14:paraId="74A63B67" w14:textId="77777777" w:rsidTr="00264D37">
        <w:trPr>
          <w:trHeight w:val="285"/>
          <w:jc w:val="center"/>
        </w:trPr>
        <w:tc>
          <w:tcPr>
            <w:tcW w:w="1667" w:type="pct"/>
            <w:tcBorders>
              <w:top w:val="nil"/>
              <w:left w:val="nil"/>
              <w:bottom w:val="nil"/>
              <w:right w:val="nil"/>
            </w:tcBorders>
            <w:vAlign w:val="center"/>
          </w:tcPr>
          <w:p w14:paraId="081E6F14"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HLB qPCR</w:t>
            </w:r>
          </w:p>
        </w:tc>
        <w:tc>
          <w:tcPr>
            <w:tcW w:w="1667" w:type="pct"/>
            <w:tcBorders>
              <w:top w:val="nil"/>
              <w:left w:val="nil"/>
              <w:bottom w:val="nil"/>
              <w:right w:val="nil"/>
            </w:tcBorders>
            <w:vAlign w:val="center"/>
          </w:tcPr>
          <w:p w14:paraId="12981495"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11</w:t>
            </w:r>
          </w:p>
        </w:tc>
        <w:tc>
          <w:tcPr>
            <w:tcW w:w="1667" w:type="pct"/>
            <w:tcBorders>
              <w:top w:val="nil"/>
              <w:left w:val="nil"/>
              <w:bottom w:val="nil"/>
              <w:right w:val="nil"/>
            </w:tcBorders>
            <w:vAlign w:val="center"/>
          </w:tcPr>
          <w:p w14:paraId="6F5A4216"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12</w:t>
            </w:r>
          </w:p>
        </w:tc>
      </w:tr>
      <w:tr w:rsidR="002C1F20" w14:paraId="08AB50A1" w14:textId="77777777" w:rsidTr="00264D37">
        <w:trPr>
          <w:trHeight w:val="285"/>
          <w:jc w:val="center"/>
        </w:trPr>
        <w:tc>
          <w:tcPr>
            <w:tcW w:w="1667" w:type="pct"/>
            <w:tcBorders>
              <w:top w:val="nil"/>
              <w:left w:val="nil"/>
              <w:bottom w:val="nil"/>
              <w:right w:val="nil"/>
            </w:tcBorders>
            <w:vAlign w:val="center"/>
          </w:tcPr>
          <w:p w14:paraId="2841D089"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proofErr w:type="spellStart"/>
            <w:r>
              <w:rPr>
                <w:rFonts w:ascii="Calibri" w:eastAsia="Calibri" w:hAnsi="Calibri" w:cs="Calibri"/>
                <w:color w:val="000000"/>
                <w:sz w:val="24"/>
                <w:szCs w:val="24"/>
              </w:rPr>
              <w:t>Pospiviroids</w:t>
            </w:r>
            <w:proofErr w:type="spellEnd"/>
          </w:p>
        </w:tc>
        <w:tc>
          <w:tcPr>
            <w:tcW w:w="1667" w:type="pct"/>
            <w:tcBorders>
              <w:top w:val="nil"/>
              <w:left w:val="nil"/>
              <w:bottom w:val="nil"/>
              <w:right w:val="nil"/>
            </w:tcBorders>
            <w:vAlign w:val="center"/>
          </w:tcPr>
          <w:p w14:paraId="7FE9E3D1"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9</w:t>
            </w:r>
          </w:p>
        </w:tc>
        <w:tc>
          <w:tcPr>
            <w:tcW w:w="1667" w:type="pct"/>
            <w:tcBorders>
              <w:top w:val="nil"/>
              <w:left w:val="nil"/>
              <w:bottom w:val="nil"/>
              <w:right w:val="nil"/>
            </w:tcBorders>
            <w:vAlign w:val="center"/>
          </w:tcPr>
          <w:p w14:paraId="4AD5D724"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6</w:t>
            </w:r>
          </w:p>
        </w:tc>
      </w:tr>
      <w:tr w:rsidR="002C1F20" w14:paraId="2A5DF2CD" w14:textId="77777777" w:rsidTr="00264D37">
        <w:trPr>
          <w:trHeight w:val="285"/>
          <w:jc w:val="center"/>
        </w:trPr>
        <w:tc>
          <w:tcPr>
            <w:tcW w:w="1667" w:type="pct"/>
            <w:tcBorders>
              <w:top w:val="nil"/>
              <w:left w:val="nil"/>
              <w:bottom w:val="nil"/>
              <w:right w:val="nil"/>
            </w:tcBorders>
            <w:vAlign w:val="center"/>
          </w:tcPr>
          <w:p w14:paraId="2F40EE15"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proofErr w:type="spellStart"/>
            <w:r>
              <w:rPr>
                <w:rFonts w:ascii="Calibri" w:eastAsia="Calibri" w:hAnsi="Calibri" w:cs="Calibri"/>
                <w:color w:val="000000"/>
                <w:sz w:val="24"/>
                <w:szCs w:val="24"/>
              </w:rPr>
              <w:t>ToBRFV</w:t>
            </w:r>
            <w:proofErr w:type="spellEnd"/>
          </w:p>
        </w:tc>
        <w:tc>
          <w:tcPr>
            <w:tcW w:w="1667" w:type="pct"/>
            <w:tcBorders>
              <w:top w:val="nil"/>
              <w:left w:val="nil"/>
              <w:bottom w:val="nil"/>
              <w:right w:val="nil"/>
            </w:tcBorders>
            <w:vAlign w:val="center"/>
          </w:tcPr>
          <w:p w14:paraId="68FA5AF1"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26</w:t>
            </w:r>
          </w:p>
        </w:tc>
        <w:tc>
          <w:tcPr>
            <w:tcW w:w="1667" w:type="pct"/>
            <w:tcBorders>
              <w:top w:val="nil"/>
              <w:left w:val="nil"/>
              <w:bottom w:val="nil"/>
              <w:right w:val="nil"/>
            </w:tcBorders>
            <w:vAlign w:val="center"/>
          </w:tcPr>
          <w:p w14:paraId="677FBC0B"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22</w:t>
            </w:r>
          </w:p>
        </w:tc>
      </w:tr>
      <w:tr w:rsidR="002C1F20" w14:paraId="60632A28" w14:textId="77777777" w:rsidTr="00264D37">
        <w:trPr>
          <w:trHeight w:val="285"/>
          <w:jc w:val="center"/>
        </w:trPr>
        <w:tc>
          <w:tcPr>
            <w:tcW w:w="1667" w:type="pct"/>
            <w:tcBorders>
              <w:top w:val="nil"/>
              <w:left w:val="nil"/>
              <w:bottom w:val="nil"/>
              <w:right w:val="nil"/>
            </w:tcBorders>
            <w:vAlign w:val="center"/>
          </w:tcPr>
          <w:p w14:paraId="71385F29"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Other APHIS-listed</w:t>
            </w:r>
          </w:p>
        </w:tc>
        <w:tc>
          <w:tcPr>
            <w:tcW w:w="1667" w:type="pct"/>
            <w:tcBorders>
              <w:top w:val="nil"/>
              <w:left w:val="nil"/>
              <w:bottom w:val="nil"/>
              <w:right w:val="nil"/>
            </w:tcBorders>
            <w:vAlign w:val="center"/>
          </w:tcPr>
          <w:p w14:paraId="1AA7AD0B"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1</w:t>
            </w:r>
            <w:r>
              <w:rPr>
                <w:rFonts w:ascii="Calibri" w:eastAsia="Calibri" w:hAnsi="Calibri" w:cs="Calibri"/>
                <w:b/>
                <w:bCs/>
                <w:sz w:val="24"/>
                <w:szCs w:val="24"/>
              </w:rPr>
              <w:t>6</w:t>
            </w:r>
          </w:p>
        </w:tc>
        <w:tc>
          <w:tcPr>
            <w:tcW w:w="1667" w:type="pct"/>
            <w:tcBorders>
              <w:top w:val="nil"/>
              <w:left w:val="nil"/>
              <w:bottom w:val="nil"/>
              <w:right w:val="nil"/>
            </w:tcBorders>
            <w:vAlign w:val="center"/>
          </w:tcPr>
          <w:p w14:paraId="2DA6504B"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10</w:t>
            </w:r>
          </w:p>
        </w:tc>
      </w:tr>
      <w:tr w:rsidR="002C1F20" w14:paraId="43838FDD" w14:textId="77777777" w:rsidTr="00264D37">
        <w:trPr>
          <w:trHeight w:val="285"/>
          <w:jc w:val="center"/>
        </w:trPr>
        <w:tc>
          <w:tcPr>
            <w:tcW w:w="1667" w:type="pct"/>
            <w:tcBorders>
              <w:top w:val="nil"/>
              <w:left w:val="nil"/>
              <w:bottom w:val="nil"/>
              <w:right w:val="nil"/>
            </w:tcBorders>
            <w:vAlign w:val="center"/>
          </w:tcPr>
          <w:p w14:paraId="5755235C"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Other (State listed)</w:t>
            </w:r>
          </w:p>
        </w:tc>
        <w:tc>
          <w:tcPr>
            <w:tcW w:w="1667" w:type="pct"/>
            <w:tcBorders>
              <w:top w:val="nil"/>
              <w:left w:val="nil"/>
              <w:bottom w:val="nil"/>
              <w:right w:val="nil"/>
            </w:tcBorders>
            <w:vAlign w:val="center"/>
          </w:tcPr>
          <w:p w14:paraId="783A70A9"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1</w:t>
            </w:r>
            <w:r>
              <w:rPr>
                <w:rFonts w:ascii="Calibri" w:eastAsia="Calibri" w:hAnsi="Calibri" w:cs="Calibri"/>
                <w:b/>
                <w:bCs/>
                <w:sz w:val="24"/>
                <w:szCs w:val="24"/>
              </w:rPr>
              <w:t>6</w:t>
            </w:r>
          </w:p>
        </w:tc>
        <w:tc>
          <w:tcPr>
            <w:tcW w:w="1667" w:type="pct"/>
            <w:tcBorders>
              <w:top w:val="nil"/>
              <w:left w:val="nil"/>
              <w:bottom w:val="nil"/>
              <w:right w:val="nil"/>
            </w:tcBorders>
            <w:vAlign w:val="center"/>
          </w:tcPr>
          <w:p w14:paraId="75010757" w14:textId="77777777" w:rsidR="002C1F20" w:rsidRDefault="002C1F20" w:rsidP="00B76F99">
            <w:pPr>
              <w:keepNext/>
              <w:pBdr>
                <w:top w:val="nil"/>
                <w:left w:val="nil"/>
                <w:bottom w:val="nil"/>
                <w:right w:val="nil"/>
                <w:between w:val="nil"/>
              </w:pBdr>
              <w:spacing w:after="0" w:line="240" w:lineRule="auto"/>
              <w:jc w:val="center"/>
              <w:rPr>
                <w:rFonts w:ascii="Calibri" w:eastAsia="Calibri" w:hAnsi="Calibri" w:cs="Calibri"/>
                <w:b/>
                <w:bCs/>
                <w:color w:val="000000"/>
                <w:sz w:val="24"/>
                <w:szCs w:val="24"/>
              </w:rPr>
            </w:pPr>
            <w:r>
              <w:rPr>
                <w:rFonts w:ascii="Calibri" w:eastAsia="Calibri" w:hAnsi="Calibri" w:cs="Calibri"/>
                <w:b/>
                <w:bCs/>
                <w:sz w:val="24"/>
                <w:szCs w:val="24"/>
              </w:rPr>
              <w:t>11</w:t>
            </w:r>
          </w:p>
        </w:tc>
      </w:tr>
    </w:tbl>
    <w:p w14:paraId="3A242BE0" w14:textId="54C9165E" w:rsidR="00FF08B6" w:rsidRDefault="00FF08B6" w:rsidP="00FF08B6">
      <w:pPr>
        <w:pStyle w:val="Heading3"/>
      </w:pPr>
      <w:r>
        <w:t>First detections</w:t>
      </w:r>
    </w:p>
    <w:p w14:paraId="369F9D52" w14:textId="023A8D90" w:rsidR="00EA18F7" w:rsidRDefault="002B3AD7" w:rsidP="002E44C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Plant biosecurity requires</w:t>
      </w:r>
      <w:r w:rsidR="00793493">
        <w:rPr>
          <w:rFonts w:ascii="Calibri" w:eastAsia="Calibri" w:hAnsi="Calibri" w:cs="Calibri"/>
          <w:color w:val="000000"/>
          <w:sz w:val="24"/>
          <w:szCs w:val="24"/>
        </w:rPr>
        <w:t xml:space="preserve"> early detection and </w:t>
      </w:r>
      <w:r w:rsidR="00B45DEE">
        <w:rPr>
          <w:rFonts w:ascii="Calibri" w:eastAsia="Calibri" w:hAnsi="Calibri" w:cs="Calibri"/>
          <w:color w:val="000000"/>
          <w:sz w:val="24"/>
          <w:szCs w:val="24"/>
        </w:rPr>
        <w:t>quick</w:t>
      </w:r>
      <w:r w:rsidR="00793493">
        <w:rPr>
          <w:rFonts w:ascii="Calibri" w:eastAsia="Calibri" w:hAnsi="Calibri" w:cs="Calibri"/>
          <w:color w:val="000000"/>
          <w:sz w:val="24"/>
          <w:szCs w:val="24"/>
        </w:rPr>
        <w:t xml:space="preserve"> communication of deliberate or accidental introductions of pests and diseases</w:t>
      </w:r>
      <w:r w:rsidR="00793493" w:rsidRPr="00A8088A">
        <w:rPr>
          <w:rFonts w:ascii="Calibri" w:eastAsia="Calibri" w:hAnsi="Calibri" w:cs="Calibri"/>
          <w:color w:val="000000"/>
          <w:sz w:val="24"/>
          <w:szCs w:val="24"/>
        </w:rPr>
        <w:t xml:space="preserve"> </w:t>
      </w:r>
      <w:r w:rsidR="00793493">
        <w:rPr>
          <w:rFonts w:ascii="Calibri" w:eastAsia="Calibri" w:hAnsi="Calibri" w:cs="Calibri"/>
          <w:color w:val="000000"/>
          <w:sz w:val="24"/>
          <w:szCs w:val="24"/>
        </w:rPr>
        <w:t>nationwide.</w:t>
      </w:r>
    </w:p>
    <w:p w14:paraId="4F12D47E" w14:textId="453F7193" w:rsidR="002E44CA" w:rsidRDefault="003E6FCD" w:rsidP="002E44C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In 2025, l</w:t>
      </w:r>
      <w:r w:rsidR="002E44CA">
        <w:rPr>
          <w:rFonts w:ascii="Calibri" w:eastAsia="Calibri" w:hAnsi="Calibri" w:cs="Calibri"/>
          <w:color w:val="000000"/>
          <w:sz w:val="24"/>
          <w:szCs w:val="24"/>
        </w:rPr>
        <w:t>abs</w:t>
      </w:r>
      <w:r w:rsidR="002E44CA">
        <w:rPr>
          <w:rFonts w:ascii="Calibri" w:eastAsia="Calibri" w:hAnsi="Calibri" w:cs="Calibri"/>
          <w:b/>
          <w:bCs/>
          <w:color w:val="000000"/>
          <w:sz w:val="24"/>
          <w:szCs w:val="24"/>
        </w:rPr>
        <w:t xml:space="preserve"> </w:t>
      </w:r>
      <w:r w:rsidR="002E44CA">
        <w:rPr>
          <w:rFonts w:ascii="Calibri" w:eastAsia="Calibri" w:hAnsi="Calibri" w:cs="Calibri"/>
          <w:color w:val="000000"/>
          <w:sz w:val="24"/>
          <w:szCs w:val="24"/>
        </w:rPr>
        <w:t>reported</w:t>
      </w:r>
      <w:r w:rsidR="002E44CA">
        <w:rPr>
          <w:rFonts w:ascii="Calibri" w:eastAsia="Calibri" w:hAnsi="Calibri" w:cs="Calibri"/>
          <w:b/>
          <w:bCs/>
          <w:color w:val="000000"/>
          <w:sz w:val="24"/>
          <w:szCs w:val="24"/>
        </w:rPr>
        <w:t xml:space="preserve"> </w:t>
      </w:r>
      <w:r w:rsidR="002E44CA">
        <w:rPr>
          <w:rFonts w:ascii="Calibri" w:eastAsia="Calibri" w:hAnsi="Calibri" w:cs="Calibri"/>
          <w:b/>
          <w:bCs/>
          <w:sz w:val="24"/>
          <w:szCs w:val="24"/>
        </w:rPr>
        <w:t>312</w:t>
      </w:r>
      <w:r w:rsidR="002E44CA">
        <w:rPr>
          <w:rFonts w:ascii="Calibri" w:eastAsia="Calibri" w:hAnsi="Calibri" w:cs="Calibri"/>
          <w:color w:val="000000"/>
          <w:sz w:val="24"/>
          <w:szCs w:val="24"/>
        </w:rPr>
        <w:t xml:space="preserve"> detections</w:t>
      </w:r>
      <w:r w:rsidR="000C309F">
        <w:rPr>
          <w:rFonts w:ascii="Calibri" w:eastAsia="Calibri" w:hAnsi="Calibri" w:cs="Calibri"/>
          <w:color w:val="000000"/>
          <w:sz w:val="24"/>
          <w:szCs w:val="24"/>
        </w:rPr>
        <w:t xml:space="preserve"> of pests or diseases</w:t>
      </w:r>
      <w:r w:rsidR="0077771B">
        <w:rPr>
          <w:rFonts w:ascii="Calibri" w:eastAsia="Calibri" w:hAnsi="Calibri" w:cs="Calibri"/>
          <w:color w:val="000000"/>
          <w:sz w:val="24"/>
          <w:szCs w:val="24"/>
        </w:rPr>
        <w:t xml:space="preserve"> </w:t>
      </w:r>
      <w:r>
        <w:rPr>
          <w:rFonts w:ascii="Calibri" w:eastAsia="Calibri" w:hAnsi="Calibri" w:cs="Calibri"/>
          <w:color w:val="000000"/>
          <w:sz w:val="24"/>
          <w:szCs w:val="24"/>
        </w:rPr>
        <w:t>found for the first time in a state or in the U.S.</w:t>
      </w:r>
      <w:r w:rsidR="002818B4" w:rsidRPr="002818B4">
        <w:rPr>
          <w:rFonts w:ascii="Calibri" w:eastAsia="Calibri" w:hAnsi="Calibri" w:cs="Calibri"/>
          <w:color w:val="000000"/>
          <w:sz w:val="24"/>
          <w:szCs w:val="24"/>
        </w:rPr>
        <w:t xml:space="preserve"> </w:t>
      </w:r>
      <w:r w:rsidR="007123C2">
        <w:rPr>
          <w:rFonts w:ascii="Calibri" w:eastAsia="Calibri" w:hAnsi="Calibri" w:cs="Calibri"/>
          <w:color w:val="000000"/>
          <w:sz w:val="24"/>
          <w:szCs w:val="24"/>
        </w:rPr>
        <w:t>L</w:t>
      </w:r>
      <w:r w:rsidR="002818B4">
        <w:rPr>
          <w:rFonts w:ascii="Calibri" w:eastAsia="Calibri" w:hAnsi="Calibri" w:cs="Calibri"/>
          <w:color w:val="000000"/>
          <w:sz w:val="24"/>
          <w:szCs w:val="24"/>
        </w:rPr>
        <w:t>abs are trained to report new detections of pests or diseases to state and federal regulatory partners, who can take informed action to prevent their spread.</w:t>
      </w:r>
    </w:p>
    <w:p w14:paraId="47901ECB" w14:textId="68E3AFA2" w:rsidR="00B7095E" w:rsidRDefault="007D4F38" w:rsidP="002E44C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A wide footprint is necessary to provide successful surveillance of new pests and diseases. In 2025 l</w:t>
      </w:r>
      <w:r w:rsidR="00B7095E">
        <w:rPr>
          <w:rFonts w:ascii="Calibri" w:eastAsia="Calibri" w:hAnsi="Calibri" w:cs="Calibri"/>
          <w:color w:val="000000"/>
          <w:sz w:val="24"/>
          <w:szCs w:val="24"/>
        </w:rPr>
        <w:t xml:space="preserve">abs received samples from </w:t>
      </w:r>
      <w:r w:rsidR="00B7095E">
        <w:rPr>
          <w:rFonts w:ascii="Calibri" w:eastAsia="Calibri" w:hAnsi="Calibri" w:cs="Calibri"/>
          <w:b/>
          <w:bCs/>
          <w:sz w:val="24"/>
          <w:szCs w:val="24"/>
        </w:rPr>
        <w:t>73</w:t>
      </w:r>
      <w:r w:rsidR="00B7095E">
        <w:rPr>
          <w:rFonts w:ascii="Calibri" w:eastAsia="Calibri" w:hAnsi="Calibri" w:cs="Calibri"/>
          <w:b/>
          <w:bCs/>
          <w:color w:val="000000"/>
          <w:sz w:val="24"/>
          <w:szCs w:val="24"/>
        </w:rPr>
        <w:t>%</w:t>
      </w:r>
      <w:r w:rsidR="00B7095E">
        <w:rPr>
          <w:rFonts w:ascii="Calibri" w:eastAsia="Calibri" w:hAnsi="Calibri" w:cs="Calibri"/>
          <w:color w:val="000000"/>
          <w:sz w:val="24"/>
          <w:szCs w:val="24"/>
        </w:rPr>
        <w:t xml:space="preserve"> of the U.S. counties</w:t>
      </w:r>
      <w:r w:rsidR="008F58C9">
        <w:rPr>
          <w:rFonts w:ascii="Calibri" w:eastAsia="Calibri" w:hAnsi="Calibri" w:cs="Calibri"/>
          <w:color w:val="000000"/>
          <w:sz w:val="24"/>
          <w:szCs w:val="24"/>
        </w:rPr>
        <w:t>.</w:t>
      </w:r>
    </w:p>
    <w:p w14:paraId="6CADF5C5" w14:textId="77777777" w:rsidR="00E2518B" w:rsidRDefault="00E2518B" w:rsidP="00E2518B">
      <w:pPr>
        <w:pStyle w:val="Heading3"/>
      </w:pPr>
      <w:r>
        <w:t>National Data Repository</w:t>
      </w:r>
    </w:p>
    <w:p w14:paraId="12723498" w14:textId="53C5381C" w:rsidR="003B539E" w:rsidRDefault="00E2518B" w:rsidP="002E44C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The NPDN maintains the most comprehensive database of pest and disease information in the </w:t>
      </w:r>
      <w:r w:rsidR="00C90320">
        <w:rPr>
          <w:rFonts w:ascii="Calibri" w:eastAsia="Calibri" w:hAnsi="Calibri" w:cs="Calibri"/>
          <w:color w:val="000000"/>
          <w:sz w:val="24"/>
          <w:szCs w:val="24"/>
        </w:rPr>
        <w:t>U.S.</w:t>
      </w:r>
      <w:r>
        <w:rPr>
          <w:rFonts w:ascii="Calibri" w:eastAsia="Calibri" w:hAnsi="Calibri" w:cs="Calibri"/>
          <w:color w:val="000000"/>
          <w:sz w:val="24"/>
          <w:szCs w:val="24"/>
        </w:rPr>
        <w:t xml:space="preserve"> The NPDN National Data Repository (NDR), provides the plant diagnostic community with information on whether </w:t>
      </w:r>
      <w:r w:rsidR="00F36F91">
        <w:rPr>
          <w:rFonts w:ascii="Calibri" w:eastAsia="Calibri" w:hAnsi="Calibri" w:cs="Calibri"/>
          <w:color w:val="000000"/>
          <w:sz w:val="24"/>
          <w:szCs w:val="24"/>
        </w:rPr>
        <w:t>an</w:t>
      </w:r>
      <w:r>
        <w:rPr>
          <w:rFonts w:ascii="Calibri" w:eastAsia="Calibri" w:hAnsi="Calibri" w:cs="Calibri"/>
          <w:color w:val="000000"/>
          <w:sz w:val="24"/>
          <w:szCs w:val="24"/>
        </w:rPr>
        <w:t xml:space="preserve"> </w:t>
      </w:r>
      <w:r w:rsidR="00966C2D">
        <w:rPr>
          <w:rFonts w:ascii="Calibri" w:eastAsia="Calibri" w:hAnsi="Calibri" w:cs="Calibri"/>
          <w:color w:val="000000"/>
          <w:sz w:val="24"/>
          <w:szCs w:val="24"/>
        </w:rPr>
        <w:t>organism</w:t>
      </w:r>
      <w:r>
        <w:rPr>
          <w:rFonts w:ascii="Calibri" w:eastAsia="Calibri" w:hAnsi="Calibri" w:cs="Calibri"/>
          <w:color w:val="000000"/>
          <w:sz w:val="24"/>
          <w:szCs w:val="24"/>
        </w:rPr>
        <w:t xml:space="preserve"> is </w:t>
      </w:r>
      <w:r w:rsidR="00A20ED5">
        <w:rPr>
          <w:rFonts w:ascii="Calibri" w:eastAsia="Calibri" w:hAnsi="Calibri" w:cs="Calibri"/>
          <w:color w:val="000000"/>
          <w:sz w:val="24"/>
          <w:szCs w:val="24"/>
        </w:rPr>
        <w:t>present</w:t>
      </w:r>
      <w:r>
        <w:rPr>
          <w:rFonts w:ascii="Calibri" w:eastAsia="Calibri" w:hAnsi="Calibri" w:cs="Calibri"/>
          <w:color w:val="000000"/>
          <w:sz w:val="24"/>
          <w:szCs w:val="24"/>
        </w:rPr>
        <w:t>, new, emerging, re-emerging, or increasing in any given area.</w:t>
      </w:r>
      <w:r w:rsidR="00B870B6">
        <w:rPr>
          <w:rFonts w:ascii="Calibri" w:eastAsia="Calibri" w:hAnsi="Calibri" w:cs="Calibri"/>
          <w:color w:val="000000"/>
          <w:sz w:val="24"/>
          <w:szCs w:val="24"/>
        </w:rPr>
        <w:t xml:space="preserve"> </w:t>
      </w:r>
      <w:r w:rsidR="00B870B6" w:rsidRPr="00B870B6">
        <w:rPr>
          <w:rFonts w:ascii="Calibri" w:eastAsia="Calibri" w:hAnsi="Calibri" w:cs="Calibri"/>
          <w:color w:val="000000"/>
          <w:sz w:val="24"/>
          <w:szCs w:val="24"/>
        </w:rPr>
        <w:t xml:space="preserve">NPDN NDR </w:t>
      </w:r>
      <w:r w:rsidR="00795B56" w:rsidRPr="00B870B6">
        <w:rPr>
          <w:rFonts w:ascii="Calibri" w:eastAsia="Calibri" w:hAnsi="Calibri" w:cs="Calibri"/>
          <w:color w:val="000000"/>
          <w:sz w:val="24"/>
          <w:szCs w:val="24"/>
        </w:rPr>
        <w:t>continu</w:t>
      </w:r>
      <w:r w:rsidR="00795B56">
        <w:rPr>
          <w:rFonts w:ascii="Calibri" w:eastAsia="Calibri" w:hAnsi="Calibri" w:cs="Calibri"/>
          <w:color w:val="000000"/>
          <w:sz w:val="24"/>
          <w:szCs w:val="24"/>
        </w:rPr>
        <w:t>ously</w:t>
      </w:r>
      <w:r w:rsidR="00B870B6" w:rsidRPr="00B870B6">
        <w:rPr>
          <w:rFonts w:ascii="Calibri" w:eastAsia="Calibri" w:hAnsi="Calibri" w:cs="Calibri"/>
          <w:color w:val="000000"/>
          <w:sz w:val="24"/>
          <w:szCs w:val="24"/>
        </w:rPr>
        <w:t xml:space="preserve"> collect diagnostic data from NPDN diagnostic laboratories</w:t>
      </w:r>
      <w:r w:rsidR="00047969">
        <w:rPr>
          <w:rFonts w:ascii="Calibri" w:eastAsia="Calibri" w:hAnsi="Calibri" w:cs="Calibri"/>
          <w:color w:val="000000"/>
          <w:sz w:val="24"/>
          <w:szCs w:val="24"/>
        </w:rPr>
        <w:t xml:space="preserve"> to ensure quality and up-to-date information.</w:t>
      </w:r>
    </w:p>
    <w:p w14:paraId="0228A77C" w14:textId="2A474F47" w:rsidR="00E2518B" w:rsidRDefault="00E2518B"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In 202</w:t>
      </w:r>
      <w:r>
        <w:rPr>
          <w:rFonts w:ascii="Calibri" w:eastAsia="Calibri" w:hAnsi="Calibri" w:cs="Calibri"/>
          <w:sz w:val="24"/>
          <w:szCs w:val="24"/>
        </w:rPr>
        <w:t>5</w:t>
      </w:r>
      <w:r>
        <w:rPr>
          <w:rFonts w:ascii="Calibri" w:eastAsia="Calibri" w:hAnsi="Calibri" w:cs="Calibri"/>
          <w:color w:val="000000"/>
          <w:sz w:val="24"/>
          <w:szCs w:val="24"/>
        </w:rPr>
        <w:t xml:space="preserve">, the </w:t>
      </w:r>
      <w:r w:rsidR="00E47C3C">
        <w:rPr>
          <w:rFonts w:ascii="Calibri" w:eastAsia="Calibri" w:hAnsi="Calibri" w:cs="Calibri"/>
          <w:color w:val="000000"/>
          <w:sz w:val="24"/>
          <w:szCs w:val="24"/>
        </w:rPr>
        <w:t>labs</w:t>
      </w:r>
      <w:r>
        <w:rPr>
          <w:rFonts w:ascii="Calibri" w:eastAsia="Calibri" w:hAnsi="Calibri" w:cs="Calibri"/>
          <w:color w:val="000000"/>
          <w:sz w:val="24"/>
          <w:szCs w:val="24"/>
        </w:rPr>
        <w:t xml:space="preserve"> added</w:t>
      </w:r>
      <w:r>
        <w:rPr>
          <w:rFonts w:ascii="Calibri" w:eastAsia="Calibri" w:hAnsi="Calibri" w:cs="Calibri"/>
          <w:b/>
          <w:bCs/>
          <w:color w:val="000000"/>
          <w:sz w:val="24"/>
          <w:szCs w:val="24"/>
        </w:rPr>
        <w:t xml:space="preserve"> </w:t>
      </w:r>
      <w:r>
        <w:rPr>
          <w:rFonts w:ascii="Calibri" w:eastAsia="Calibri" w:hAnsi="Calibri" w:cs="Calibri"/>
          <w:b/>
          <w:bCs/>
          <w:sz w:val="24"/>
          <w:szCs w:val="24"/>
        </w:rPr>
        <w:t>131,636</w:t>
      </w:r>
      <w:r>
        <w:rPr>
          <w:rFonts w:ascii="Calibri" w:eastAsia="Calibri" w:hAnsi="Calibri" w:cs="Calibri"/>
          <w:color w:val="000000"/>
          <w:sz w:val="24"/>
          <w:szCs w:val="24"/>
        </w:rPr>
        <w:t xml:space="preserve"> </w:t>
      </w:r>
      <w:r w:rsidR="00FE7452">
        <w:rPr>
          <w:rFonts w:ascii="Calibri" w:eastAsia="Calibri" w:hAnsi="Calibri" w:cs="Calibri"/>
          <w:color w:val="000000"/>
          <w:sz w:val="24"/>
          <w:szCs w:val="24"/>
        </w:rPr>
        <w:t xml:space="preserve">new </w:t>
      </w:r>
      <w:r>
        <w:rPr>
          <w:rFonts w:ascii="Calibri" w:eastAsia="Calibri" w:hAnsi="Calibri" w:cs="Calibri"/>
          <w:color w:val="000000"/>
          <w:sz w:val="24"/>
          <w:szCs w:val="24"/>
        </w:rPr>
        <w:t xml:space="preserve">pest and disease </w:t>
      </w:r>
      <w:r w:rsidR="000730DA">
        <w:rPr>
          <w:rFonts w:ascii="Calibri" w:eastAsia="Calibri" w:hAnsi="Calibri" w:cs="Calibri"/>
          <w:color w:val="000000"/>
          <w:sz w:val="24"/>
          <w:szCs w:val="24"/>
        </w:rPr>
        <w:t>records</w:t>
      </w:r>
      <w:r w:rsidR="00401C4E">
        <w:rPr>
          <w:rFonts w:ascii="Calibri" w:eastAsia="Calibri" w:hAnsi="Calibri" w:cs="Calibri"/>
          <w:color w:val="000000"/>
          <w:sz w:val="24"/>
          <w:szCs w:val="24"/>
        </w:rPr>
        <w:t xml:space="preserve"> to the NDR</w:t>
      </w:r>
      <w:r>
        <w:rPr>
          <w:rFonts w:ascii="Calibri" w:eastAsia="Calibri" w:hAnsi="Calibri" w:cs="Calibri"/>
          <w:color w:val="000000"/>
          <w:sz w:val="24"/>
          <w:szCs w:val="24"/>
        </w:rPr>
        <w:t>.</w:t>
      </w:r>
    </w:p>
    <w:p w14:paraId="301AB3E6" w14:textId="77777777" w:rsidR="003F748A" w:rsidRDefault="003F748A" w:rsidP="003F748A">
      <w:pPr>
        <w:pStyle w:val="Heading2"/>
      </w:pPr>
      <w:bookmarkStart w:id="0" w:name="_heading=h.egddzqkgvn8w" w:colFirst="0" w:colLast="0"/>
      <w:bookmarkEnd w:id="0"/>
      <w:r>
        <w:lastRenderedPageBreak/>
        <w:t>Quality in Diagnostics:</w:t>
      </w:r>
    </w:p>
    <w:p w14:paraId="0B74540D" w14:textId="182BFC19" w:rsidR="003F748A" w:rsidRDefault="003F748A" w:rsidP="003F748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NPDN support</w:t>
      </w:r>
      <w:r w:rsidR="002C65F3">
        <w:rPr>
          <w:rFonts w:ascii="Calibri" w:eastAsia="Calibri" w:hAnsi="Calibri" w:cs="Calibri"/>
          <w:color w:val="000000"/>
          <w:sz w:val="24"/>
          <w:szCs w:val="24"/>
        </w:rPr>
        <w:t>s</w:t>
      </w:r>
      <w:r>
        <w:rPr>
          <w:rFonts w:ascii="Calibri" w:eastAsia="Calibri" w:hAnsi="Calibri" w:cs="Calibri"/>
          <w:color w:val="000000"/>
          <w:sz w:val="24"/>
          <w:szCs w:val="24"/>
        </w:rPr>
        <w:t xml:space="preserve"> high-quality </w:t>
      </w:r>
      <w:r w:rsidR="002C65F3">
        <w:rPr>
          <w:rFonts w:ascii="Calibri" w:eastAsia="Calibri" w:hAnsi="Calibri" w:cs="Calibri"/>
          <w:color w:val="000000"/>
          <w:sz w:val="24"/>
          <w:szCs w:val="24"/>
        </w:rPr>
        <w:t xml:space="preserve">in </w:t>
      </w:r>
      <w:r>
        <w:rPr>
          <w:rFonts w:ascii="Calibri" w:eastAsia="Calibri" w:hAnsi="Calibri" w:cs="Calibri"/>
          <w:color w:val="000000"/>
          <w:sz w:val="24"/>
          <w:szCs w:val="24"/>
        </w:rPr>
        <w:t xml:space="preserve">diagnostics through constant improvement and quality assurance programs. </w:t>
      </w:r>
    </w:p>
    <w:p w14:paraId="08C933DE" w14:textId="77777777" w:rsidR="003F748A" w:rsidRDefault="003F748A" w:rsidP="003F748A">
      <w:pPr>
        <w:pStyle w:val="Heading3"/>
      </w:pPr>
      <w:r>
        <w:t xml:space="preserve">Laboratory Quality Accreditation </w:t>
      </w:r>
    </w:p>
    <w:p w14:paraId="4C76B1D0" w14:textId="63D0FA23" w:rsidR="003F748A" w:rsidRDefault="003F748A" w:rsidP="003F748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The NPDN manages the only accreditation program specialized in plant diagnostic labs in the U.S.</w:t>
      </w:r>
      <w:r w:rsidR="00E0333B">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The </w:t>
      </w:r>
      <w:r w:rsidR="000A4594">
        <w:rPr>
          <w:rFonts w:ascii="Calibri" w:eastAsia="Calibri" w:hAnsi="Calibri" w:cs="Calibri"/>
          <w:color w:val="000000"/>
          <w:sz w:val="24"/>
          <w:szCs w:val="24"/>
        </w:rPr>
        <w:t xml:space="preserve">new </w:t>
      </w:r>
      <w:r>
        <w:rPr>
          <w:rFonts w:ascii="Calibri" w:eastAsia="Calibri" w:hAnsi="Calibri" w:cs="Calibri"/>
          <w:color w:val="000000"/>
          <w:sz w:val="24"/>
          <w:szCs w:val="24"/>
        </w:rPr>
        <w:t xml:space="preserve">Core Accreditation Program ensures that labs meet standards of quality and professionalism, strengthening their state of readiness in performing timely and accurate </w:t>
      </w:r>
      <w:r w:rsidR="008B437A">
        <w:rPr>
          <w:rFonts w:ascii="Calibri" w:eastAsia="Calibri" w:hAnsi="Calibri" w:cs="Calibri"/>
          <w:color w:val="000000"/>
          <w:sz w:val="24"/>
          <w:szCs w:val="24"/>
        </w:rPr>
        <w:t>diagnosis</w:t>
      </w:r>
      <w:r>
        <w:rPr>
          <w:rFonts w:ascii="Calibri" w:eastAsia="Calibri" w:hAnsi="Calibri" w:cs="Calibri"/>
          <w:color w:val="000000"/>
          <w:sz w:val="24"/>
          <w:szCs w:val="24"/>
        </w:rPr>
        <w:t xml:space="preserve"> while reducing the risk of exotic pathogens and pest establishments.</w:t>
      </w:r>
    </w:p>
    <w:p w14:paraId="009050C2" w14:textId="77777777" w:rsidR="003F748A" w:rsidRDefault="003F748A" w:rsidP="003F748A">
      <w:pPr>
        <w:pBdr>
          <w:top w:val="nil"/>
          <w:left w:val="nil"/>
          <w:bottom w:val="nil"/>
          <w:right w:val="nil"/>
          <w:between w:val="nil"/>
        </w:pBdr>
        <w:spacing w:after="120" w:line="264" w:lineRule="auto"/>
        <w:jc w:val="center"/>
        <w:rPr>
          <w:rFonts w:ascii="Calibri" w:eastAsia="Calibri" w:hAnsi="Calibri" w:cs="Calibri"/>
          <w:color w:val="000000"/>
          <w:sz w:val="24"/>
          <w:szCs w:val="24"/>
        </w:rPr>
      </w:pPr>
      <w:r>
        <w:rPr>
          <w:rFonts w:ascii="Calibri" w:eastAsia="Calibri" w:hAnsi="Calibri" w:cs="Calibri"/>
          <w:b/>
          <w:bCs/>
          <w:sz w:val="24"/>
          <w:szCs w:val="24"/>
        </w:rPr>
        <w:t>9</w:t>
      </w:r>
      <w:r>
        <w:rPr>
          <w:rFonts w:ascii="Calibri" w:eastAsia="Calibri" w:hAnsi="Calibri" w:cs="Calibri"/>
          <w:sz w:val="24"/>
          <w:szCs w:val="24"/>
        </w:rPr>
        <w:t xml:space="preserve"> new </w:t>
      </w:r>
      <w:r>
        <w:rPr>
          <w:rFonts w:ascii="Calibri" w:eastAsia="Calibri" w:hAnsi="Calibri" w:cs="Calibri"/>
          <w:color w:val="000000"/>
          <w:sz w:val="24"/>
          <w:szCs w:val="24"/>
        </w:rPr>
        <w:t>labs received Core Standard Accreditation in 2025</w:t>
      </w:r>
    </w:p>
    <w:p w14:paraId="3B76CDF0" w14:textId="77777777" w:rsidR="003F748A" w:rsidRDefault="003F748A" w:rsidP="003F748A">
      <w:pPr>
        <w:pStyle w:val="Heading3"/>
      </w:pPr>
      <w:r>
        <w:t xml:space="preserve">Diagnostic Proficiency </w:t>
      </w:r>
    </w:p>
    <w:p w14:paraId="57C73126" w14:textId="77777777" w:rsidR="003F748A" w:rsidRDefault="003F748A" w:rsidP="003F748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NPDN labs participate in APHIS-PPQ proficiency certification programs. </w:t>
      </w:r>
    </w:p>
    <w:p w14:paraId="0FB5769E" w14:textId="009EDD05" w:rsidR="003F748A" w:rsidRDefault="003F748A" w:rsidP="003F748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In 202</w:t>
      </w:r>
      <w:r>
        <w:rPr>
          <w:rFonts w:ascii="Calibri" w:eastAsia="Calibri" w:hAnsi="Calibri" w:cs="Calibri"/>
          <w:sz w:val="24"/>
          <w:szCs w:val="24"/>
        </w:rPr>
        <w:t>5</w:t>
      </w:r>
      <w:r>
        <w:rPr>
          <w:rFonts w:ascii="Calibri" w:eastAsia="Calibri" w:hAnsi="Calibri" w:cs="Calibri"/>
          <w:color w:val="000000"/>
          <w:sz w:val="24"/>
          <w:szCs w:val="24"/>
        </w:rPr>
        <w:t xml:space="preserve">, </w:t>
      </w:r>
      <w:r w:rsidRPr="00FB7438">
        <w:rPr>
          <w:rFonts w:ascii="Calibri" w:eastAsia="Calibri" w:hAnsi="Calibri" w:cs="Calibri"/>
          <w:b/>
          <w:bCs/>
          <w:color w:val="000000"/>
          <w:sz w:val="24"/>
          <w:szCs w:val="24"/>
        </w:rPr>
        <w:t>1</w:t>
      </w:r>
      <w:r w:rsidRPr="00FB7438">
        <w:rPr>
          <w:rFonts w:ascii="Calibri" w:eastAsia="Calibri" w:hAnsi="Calibri" w:cs="Calibri"/>
          <w:b/>
          <w:bCs/>
          <w:sz w:val="24"/>
          <w:szCs w:val="24"/>
        </w:rPr>
        <w:t>8</w:t>
      </w:r>
      <w:r>
        <w:rPr>
          <w:rFonts w:ascii="Calibri" w:eastAsia="Calibri" w:hAnsi="Calibri" w:cs="Calibri"/>
          <w:color w:val="000000"/>
          <w:sz w:val="24"/>
          <w:szCs w:val="24"/>
        </w:rPr>
        <w:t xml:space="preserve"> </w:t>
      </w:r>
      <w:r w:rsidR="00FF305B">
        <w:rPr>
          <w:rFonts w:ascii="Calibri" w:eastAsia="Calibri" w:hAnsi="Calibri" w:cs="Calibri"/>
          <w:color w:val="000000"/>
          <w:sz w:val="24"/>
          <w:szCs w:val="24"/>
        </w:rPr>
        <w:t xml:space="preserve">member </w:t>
      </w:r>
      <w:r>
        <w:rPr>
          <w:rFonts w:ascii="Calibri" w:eastAsia="Calibri" w:hAnsi="Calibri" w:cs="Calibri"/>
          <w:color w:val="000000"/>
          <w:sz w:val="24"/>
          <w:szCs w:val="24"/>
        </w:rPr>
        <w:t>labs obtained one or more Plant Pathogen Diagnostic Certification Program (PPDCP) certifications. In total,</w:t>
      </w:r>
      <w:r>
        <w:rPr>
          <w:rFonts w:ascii="Calibri" w:eastAsia="Calibri" w:hAnsi="Calibri" w:cs="Calibri"/>
          <w:b/>
          <w:bCs/>
          <w:color w:val="000000"/>
          <w:sz w:val="24"/>
          <w:szCs w:val="24"/>
        </w:rPr>
        <w:t xml:space="preserve"> 2</w:t>
      </w:r>
      <w:r>
        <w:rPr>
          <w:rFonts w:ascii="Calibri" w:eastAsia="Calibri" w:hAnsi="Calibri" w:cs="Calibri"/>
          <w:b/>
          <w:bCs/>
          <w:sz w:val="24"/>
          <w:szCs w:val="24"/>
        </w:rPr>
        <w:t>1</w:t>
      </w:r>
      <w:r>
        <w:rPr>
          <w:rFonts w:ascii="Calibri" w:eastAsia="Calibri" w:hAnsi="Calibri" w:cs="Calibri"/>
          <w:color w:val="000000"/>
          <w:sz w:val="24"/>
          <w:szCs w:val="24"/>
        </w:rPr>
        <w:t xml:space="preserve"> </w:t>
      </w:r>
      <w:r w:rsidR="00FF305B">
        <w:rPr>
          <w:rFonts w:ascii="Calibri" w:eastAsia="Calibri" w:hAnsi="Calibri" w:cs="Calibri"/>
          <w:color w:val="000000"/>
          <w:sz w:val="24"/>
          <w:szCs w:val="24"/>
        </w:rPr>
        <w:t>member</w:t>
      </w:r>
      <w:r>
        <w:rPr>
          <w:rFonts w:ascii="Calibri" w:eastAsia="Calibri" w:hAnsi="Calibri" w:cs="Calibri"/>
          <w:color w:val="000000"/>
          <w:sz w:val="24"/>
          <w:szCs w:val="24"/>
        </w:rPr>
        <w:t xml:space="preserve"> labs have valid proficiency certifications by USDA-APHIS form NPPLAP, PPDCP or both.</w:t>
      </w:r>
    </w:p>
    <w:p w14:paraId="3F944FE2" w14:textId="4DEF6B96" w:rsidR="003F748A" w:rsidRDefault="003F748A" w:rsidP="003F748A">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The NPDN is also </w:t>
      </w:r>
      <w:r w:rsidR="0090172A">
        <w:rPr>
          <w:rFonts w:ascii="Calibri" w:eastAsia="Calibri" w:hAnsi="Calibri" w:cs="Calibri"/>
          <w:color w:val="000000"/>
          <w:sz w:val="24"/>
          <w:szCs w:val="24"/>
        </w:rPr>
        <w:t>developing a</w:t>
      </w:r>
      <w:r>
        <w:rPr>
          <w:rFonts w:ascii="Calibri" w:eastAsia="Calibri" w:hAnsi="Calibri" w:cs="Calibri"/>
          <w:color w:val="000000"/>
          <w:sz w:val="24"/>
          <w:szCs w:val="24"/>
        </w:rPr>
        <w:t xml:space="preserve"> Proficiency Program. The program aims to establish a standard for measuring fundamental diagnostic knowledge among NPDN diagnosticians and to ensure the quality of data uploaded to the NDR.</w:t>
      </w:r>
    </w:p>
    <w:p w14:paraId="2C06B85C" w14:textId="599F5C62" w:rsidR="00A75D6D" w:rsidRDefault="00AE152E">
      <w:pPr>
        <w:pStyle w:val="Heading2"/>
      </w:pPr>
      <w:r>
        <w:t xml:space="preserve">Accomplishments in </w:t>
      </w:r>
      <w:r w:rsidR="00B70476">
        <w:t>workforce</w:t>
      </w:r>
      <w:r>
        <w:t xml:space="preserve"> development</w:t>
      </w:r>
    </w:p>
    <w:p w14:paraId="2C06B85D"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NPDN aims to provide training opportunities and experiential learning that accelerate the learning curve and enhance diagnostic capabilities of the current and future diagnostic workforce.</w:t>
      </w:r>
    </w:p>
    <w:p w14:paraId="2C06B85E" w14:textId="77777777" w:rsidR="00A75D6D" w:rsidRDefault="00AE152E">
      <w:pPr>
        <w:pStyle w:val="Heading3"/>
      </w:pPr>
      <w:r>
        <w:t>Plant diagnostic workshops</w:t>
      </w:r>
    </w:p>
    <w:p w14:paraId="2C06B85F" w14:textId="0771021F" w:rsidR="00A75D6D" w:rsidRDefault="00AE152E">
      <w:pPr>
        <w:spacing w:after="120" w:line="264" w:lineRule="auto"/>
        <w:rPr>
          <w:rFonts w:ascii="Calibri" w:eastAsia="Calibri" w:hAnsi="Calibri" w:cs="Calibri"/>
          <w:sz w:val="24"/>
          <w:szCs w:val="24"/>
        </w:rPr>
      </w:pPr>
      <w:r>
        <w:rPr>
          <w:rFonts w:ascii="Calibri" w:eastAsia="Calibri" w:hAnsi="Calibri" w:cs="Calibri"/>
          <w:sz w:val="24"/>
          <w:szCs w:val="24"/>
        </w:rPr>
        <w:t>Over</w:t>
      </w:r>
      <w:r>
        <w:rPr>
          <w:rFonts w:ascii="Calibri" w:eastAsia="Calibri" w:hAnsi="Calibri" w:cs="Calibri"/>
          <w:b/>
          <w:bCs/>
          <w:sz w:val="24"/>
          <w:szCs w:val="24"/>
        </w:rPr>
        <w:t xml:space="preserve"> 80%</w:t>
      </w:r>
      <w:r>
        <w:rPr>
          <w:rFonts w:ascii="Calibri" w:eastAsia="Calibri" w:hAnsi="Calibri" w:cs="Calibri"/>
          <w:sz w:val="24"/>
          <w:szCs w:val="24"/>
        </w:rPr>
        <w:t xml:space="preserve"> of </w:t>
      </w:r>
      <w:r w:rsidR="00F62E59">
        <w:rPr>
          <w:rFonts w:ascii="Calibri" w:eastAsia="Calibri" w:hAnsi="Calibri" w:cs="Calibri"/>
          <w:sz w:val="24"/>
          <w:szCs w:val="24"/>
        </w:rPr>
        <w:t>member</w:t>
      </w:r>
      <w:r>
        <w:rPr>
          <w:rFonts w:ascii="Calibri" w:eastAsia="Calibri" w:hAnsi="Calibri" w:cs="Calibri"/>
          <w:sz w:val="24"/>
          <w:szCs w:val="24"/>
        </w:rPr>
        <w:t xml:space="preserve"> labs participated in at least 1 NPDN organized professional development event (median 2 events per lab). These events included:</w:t>
      </w:r>
    </w:p>
    <w:p w14:paraId="2C06B861" w14:textId="77777777" w:rsidR="00A75D6D" w:rsidRDefault="00AE152E">
      <w:pPr>
        <w:numPr>
          <w:ilvl w:val="0"/>
          <w:numId w:val="1"/>
        </w:numPr>
        <w:spacing w:before="0" w:after="0" w:line="264" w:lineRule="auto"/>
        <w:rPr>
          <w:rFonts w:ascii="Calibri" w:eastAsia="Calibri" w:hAnsi="Calibri" w:cs="Calibri"/>
          <w:sz w:val="24"/>
          <w:szCs w:val="24"/>
        </w:rPr>
      </w:pPr>
      <w:r>
        <w:rPr>
          <w:rFonts w:ascii="Calibri" w:eastAsia="Calibri" w:hAnsi="Calibri" w:cs="Calibri"/>
          <w:b/>
          <w:bCs/>
          <w:sz w:val="24"/>
          <w:szCs w:val="24"/>
        </w:rPr>
        <w:t>6</w:t>
      </w:r>
      <w:r>
        <w:rPr>
          <w:rFonts w:ascii="Calibri" w:eastAsia="Calibri" w:hAnsi="Calibri" w:cs="Calibri"/>
          <w:sz w:val="24"/>
          <w:szCs w:val="24"/>
        </w:rPr>
        <w:t xml:space="preserve"> PPCDL advanced diagnostic workshops in Maryland - </w:t>
      </w:r>
      <w:r>
        <w:rPr>
          <w:rFonts w:ascii="Calibri" w:eastAsia="Calibri" w:hAnsi="Calibri" w:cs="Calibri"/>
          <w:b/>
          <w:bCs/>
          <w:sz w:val="24"/>
          <w:szCs w:val="24"/>
        </w:rPr>
        <w:t xml:space="preserve">71 </w:t>
      </w:r>
      <w:r>
        <w:rPr>
          <w:rFonts w:ascii="Calibri" w:eastAsia="Calibri" w:hAnsi="Calibri" w:cs="Calibri"/>
          <w:sz w:val="24"/>
          <w:szCs w:val="24"/>
        </w:rPr>
        <w:t xml:space="preserve">participants. </w:t>
      </w:r>
    </w:p>
    <w:p w14:paraId="2C06B862" w14:textId="77777777" w:rsidR="00A75D6D" w:rsidRDefault="00AE152E">
      <w:pPr>
        <w:numPr>
          <w:ilvl w:val="0"/>
          <w:numId w:val="1"/>
        </w:numPr>
        <w:spacing w:before="0" w:after="0" w:line="264" w:lineRule="auto"/>
        <w:rPr>
          <w:rFonts w:ascii="Calibri" w:eastAsia="Calibri" w:hAnsi="Calibri" w:cs="Calibri"/>
          <w:sz w:val="24"/>
          <w:szCs w:val="24"/>
        </w:rPr>
      </w:pPr>
      <w:r>
        <w:rPr>
          <w:rFonts w:ascii="Calibri" w:eastAsia="Calibri" w:hAnsi="Calibri" w:cs="Calibri"/>
          <w:b/>
          <w:bCs/>
          <w:sz w:val="24"/>
          <w:szCs w:val="24"/>
        </w:rPr>
        <w:t>2</w:t>
      </w:r>
      <w:r>
        <w:rPr>
          <w:rFonts w:ascii="Calibri" w:eastAsia="Calibri" w:hAnsi="Calibri" w:cs="Calibri"/>
          <w:sz w:val="24"/>
          <w:szCs w:val="24"/>
        </w:rPr>
        <w:t xml:space="preserve"> Morphological Fungal Identification Techniques Workshop - </w:t>
      </w:r>
      <w:r>
        <w:rPr>
          <w:rFonts w:ascii="Calibri" w:eastAsia="Calibri" w:hAnsi="Calibri" w:cs="Calibri"/>
          <w:b/>
          <w:bCs/>
          <w:sz w:val="24"/>
          <w:szCs w:val="24"/>
        </w:rPr>
        <w:t xml:space="preserve">16 </w:t>
      </w:r>
      <w:r>
        <w:rPr>
          <w:rFonts w:ascii="Calibri" w:eastAsia="Calibri" w:hAnsi="Calibri" w:cs="Calibri"/>
          <w:sz w:val="24"/>
          <w:szCs w:val="24"/>
        </w:rPr>
        <w:t>participants.</w:t>
      </w:r>
    </w:p>
    <w:p w14:paraId="3EA55A5F" w14:textId="578DF031" w:rsidR="00B70476" w:rsidRDefault="006A6174" w:rsidP="00B70476">
      <w:pPr>
        <w:numPr>
          <w:ilvl w:val="0"/>
          <w:numId w:val="1"/>
        </w:numPr>
        <w:spacing w:after="0" w:line="264" w:lineRule="auto"/>
        <w:rPr>
          <w:rFonts w:ascii="Calibri" w:eastAsia="Calibri" w:hAnsi="Calibri" w:cs="Calibri"/>
          <w:sz w:val="24"/>
          <w:szCs w:val="24"/>
        </w:rPr>
      </w:pPr>
      <w:r w:rsidRPr="006A6174">
        <w:rPr>
          <w:rFonts w:ascii="Calibri" w:eastAsia="Calibri" w:hAnsi="Calibri" w:cs="Calibri"/>
          <w:b/>
          <w:bCs/>
          <w:sz w:val="24"/>
          <w:szCs w:val="24"/>
        </w:rPr>
        <w:t>1</w:t>
      </w:r>
      <w:r w:rsidR="00B70476">
        <w:rPr>
          <w:rFonts w:ascii="Calibri" w:eastAsia="Calibri" w:hAnsi="Calibri" w:cs="Calibri"/>
          <w:sz w:val="24"/>
          <w:szCs w:val="24"/>
        </w:rPr>
        <w:t xml:space="preserve"> Advanced Nucleic Acid Extraction and qPCR Training in Boise, ID </w:t>
      </w:r>
      <w:proofErr w:type="gramStart"/>
      <w:r w:rsidR="00B70476">
        <w:rPr>
          <w:rFonts w:ascii="Calibri" w:eastAsia="Calibri" w:hAnsi="Calibri" w:cs="Calibri"/>
          <w:sz w:val="24"/>
          <w:szCs w:val="24"/>
        </w:rPr>
        <w:t xml:space="preserve">-  </w:t>
      </w:r>
      <w:r w:rsidR="00B70476">
        <w:rPr>
          <w:rFonts w:ascii="Calibri" w:eastAsia="Calibri" w:hAnsi="Calibri" w:cs="Calibri"/>
          <w:b/>
          <w:bCs/>
          <w:sz w:val="24"/>
          <w:szCs w:val="24"/>
        </w:rPr>
        <w:t>8</w:t>
      </w:r>
      <w:proofErr w:type="gramEnd"/>
      <w:r w:rsidR="00B70476">
        <w:rPr>
          <w:rFonts w:ascii="Calibri" w:eastAsia="Calibri" w:hAnsi="Calibri" w:cs="Calibri"/>
          <w:sz w:val="24"/>
          <w:szCs w:val="24"/>
        </w:rPr>
        <w:t xml:space="preserve"> participants</w:t>
      </w:r>
    </w:p>
    <w:p w14:paraId="2C06B863" w14:textId="77777777" w:rsidR="00A75D6D" w:rsidRDefault="00AE152E">
      <w:pPr>
        <w:numPr>
          <w:ilvl w:val="0"/>
          <w:numId w:val="1"/>
        </w:numPr>
        <w:spacing w:before="0" w:after="120" w:line="264" w:lineRule="auto"/>
        <w:rPr>
          <w:rFonts w:ascii="Calibri" w:eastAsia="Calibri" w:hAnsi="Calibri" w:cs="Calibri"/>
          <w:sz w:val="24"/>
          <w:szCs w:val="24"/>
        </w:rPr>
      </w:pPr>
      <w:r>
        <w:rPr>
          <w:rFonts w:ascii="Calibri" w:eastAsia="Calibri" w:hAnsi="Calibri" w:cs="Calibri"/>
          <w:b/>
          <w:bCs/>
          <w:sz w:val="24"/>
          <w:szCs w:val="24"/>
        </w:rPr>
        <w:t>8</w:t>
      </w:r>
      <w:r>
        <w:rPr>
          <w:rFonts w:ascii="Calibri" w:eastAsia="Calibri" w:hAnsi="Calibri" w:cs="Calibri"/>
          <w:sz w:val="24"/>
          <w:szCs w:val="24"/>
        </w:rPr>
        <w:t xml:space="preserve"> diagnostic webinars recorded live - combined attendance of </w:t>
      </w:r>
      <w:r>
        <w:rPr>
          <w:rFonts w:ascii="Calibri" w:eastAsia="Calibri" w:hAnsi="Calibri" w:cs="Calibri"/>
          <w:b/>
          <w:bCs/>
          <w:sz w:val="24"/>
          <w:szCs w:val="24"/>
        </w:rPr>
        <w:t>249</w:t>
      </w:r>
      <w:r>
        <w:rPr>
          <w:rFonts w:ascii="Calibri" w:eastAsia="Calibri" w:hAnsi="Calibri" w:cs="Calibri"/>
          <w:sz w:val="24"/>
          <w:szCs w:val="24"/>
        </w:rPr>
        <w:t xml:space="preserve"> participants.</w:t>
      </w:r>
    </w:p>
    <w:p w14:paraId="2C06B864" w14:textId="6E3B2A5F" w:rsidR="00A75D6D" w:rsidRDefault="00AE152E">
      <w:pPr>
        <w:spacing w:after="120" w:line="264" w:lineRule="auto"/>
        <w:rPr>
          <w:rFonts w:ascii="Calibri" w:eastAsia="Calibri" w:hAnsi="Calibri" w:cs="Calibri"/>
          <w:b/>
          <w:bCs/>
          <w:sz w:val="24"/>
          <w:szCs w:val="24"/>
        </w:rPr>
      </w:pPr>
      <w:r>
        <w:rPr>
          <w:rFonts w:ascii="Calibri" w:eastAsia="Calibri" w:hAnsi="Calibri" w:cs="Calibri"/>
          <w:sz w:val="24"/>
          <w:szCs w:val="24"/>
        </w:rPr>
        <w:lastRenderedPageBreak/>
        <w:t xml:space="preserve">NPDN funds also help diagnosticians attend other (non-NPDN) professional development activities such professional conferences and workshops in various specialized topics. </w:t>
      </w:r>
      <w:r>
        <w:rPr>
          <w:rFonts w:ascii="Calibri" w:eastAsia="Calibri" w:hAnsi="Calibri" w:cs="Calibri"/>
          <w:b/>
          <w:bCs/>
          <w:sz w:val="24"/>
          <w:szCs w:val="24"/>
        </w:rPr>
        <w:t>67%</w:t>
      </w:r>
      <w:r>
        <w:rPr>
          <w:rFonts w:ascii="Calibri" w:eastAsia="Calibri" w:hAnsi="Calibri" w:cs="Calibri"/>
          <w:sz w:val="24"/>
          <w:szCs w:val="24"/>
        </w:rPr>
        <w:t xml:space="preserve"> of NPDN funded labs attended</w:t>
      </w:r>
      <w:r>
        <w:rPr>
          <w:rFonts w:ascii="Calibri" w:eastAsia="Calibri" w:hAnsi="Calibri" w:cs="Calibri"/>
          <w:b/>
          <w:bCs/>
          <w:sz w:val="24"/>
          <w:szCs w:val="24"/>
        </w:rPr>
        <w:t xml:space="preserve"> </w:t>
      </w:r>
      <w:r>
        <w:rPr>
          <w:rFonts w:ascii="Calibri" w:eastAsia="Calibri" w:hAnsi="Calibri" w:cs="Calibri"/>
          <w:sz w:val="24"/>
          <w:szCs w:val="24"/>
        </w:rPr>
        <w:t>at least one other non-NPDN professional development activity.</w:t>
      </w:r>
    </w:p>
    <w:p w14:paraId="2C06B865" w14:textId="77777777" w:rsidR="00A75D6D" w:rsidRDefault="00AE152E">
      <w:pPr>
        <w:pStyle w:val="Heading3"/>
      </w:pPr>
      <w:r>
        <w:t>On-demand virtual learning system</w:t>
      </w:r>
    </w:p>
    <w:p w14:paraId="2C06B866" w14:textId="4733DE5E" w:rsidR="00A75D6D" w:rsidRDefault="00AE152E">
      <w:pPr>
        <w:spacing w:after="120" w:line="264" w:lineRule="auto"/>
        <w:rPr>
          <w:rFonts w:ascii="Calibri" w:eastAsia="Calibri" w:hAnsi="Calibri" w:cs="Calibri"/>
          <w:sz w:val="24"/>
          <w:szCs w:val="24"/>
          <w:highlight w:val="yellow"/>
        </w:rPr>
      </w:pPr>
      <w:r>
        <w:rPr>
          <w:rFonts w:ascii="Calibri" w:eastAsia="Calibri" w:hAnsi="Calibri" w:cs="Calibri"/>
          <w:sz w:val="24"/>
          <w:szCs w:val="24"/>
        </w:rPr>
        <w:t xml:space="preserve">During 2024 NPDN added </w:t>
      </w:r>
      <w:r>
        <w:rPr>
          <w:rFonts w:ascii="Calibri" w:eastAsia="Calibri" w:hAnsi="Calibri" w:cs="Calibri"/>
          <w:b/>
          <w:bCs/>
          <w:sz w:val="24"/>
          <w:szCs w:val="24"/>
        </w:rPr>
        <w:t>4</w:t>
      </w:r>
      <w:r>
        <w:rPr>
          <w:rFonts w:ascii="Calibri" w:eastAsia="Calibri" w:hAnsi="Calibri" w:cs="Calibri"/>
          <w:sz w:val="24"/>
          <w:szCs w:val="24"/>
        </w:rPr>
        <w:t xml:space="preserve"> new </w:t>
      </w:r>
      <w:r w:rsidR="00825F4B">
        <w:rPr>
          <w:rFonts w:ascii="Calibri" w:eastAsia="Calibri" w:hAnsi="Calibri" w:cs="Calibri"/>
          <w:sz w:val="24"/>
          <w:szCs w:val="24"/>
        </w:rPr>
        <w:t>eLearning modules</w:t>
      </w:r>
      <w:r>
        <w:rPr>
          <w:rFonts w:ascii="Calibri" w:eastAsia="Calibri" w:hAnsi="Calibri" w:cs="Calibri"/>
          <w:sz w:val="24"/>
          <w:szCs w:val="24"/>
        </w:rPr>
        <w:t xml:space="preserve"> to NPDN on-line virtual learning system for diagnosticians. In total </w:t>
      </w:r>
      <w:r>
        <w:rPr>
          <w:rFonts w:ascii="Calibri" w:eastAsia="Calibri" w:hAnsi="Calibri" w:cs="Calibri"/>
          <w:b/>
          <w:bCs/>
          <w:sz w:val="24"/>
          <w:szCs w:val="24"/>
        </w:rPr>
        <w:t>55</w:t>
      </w:r>
      <w:r>
        <w:rPr>
          <w:rFonts w:ascii="Calibri" w:eastAsia="Calibri" w:hAnsi="Calibri" w:cs="Calibri"/>
          <w:sz w:val="24"/>
          <w:szCs w:val="24"/>
        </w:rPr>
        <w:t xml:space="preserve"> virtual </w:t>
      </w:r>
      <w:r w:rsidR="00EB34EC">
        <w:rPr>
          <w:rFonts w:ascii="Calibri" w:eastAsia="Calibri" w:hAnsi="Calibri" w:cs="Calibri"/>
          <w:sz w:val="24"/>
          <w:szCs w:val="24"/>
        </w:rPr>
        <w:t>modules</w:t>
      </w:r>
      <w:r>
        <w:rPr>
          <w:rFonts w:ascii="Calibri" w:eastAsia="Calibri" w:hAnsi="Calibri" w:cs="Calibri"/>
          <w:sz w:val="24"/>
          <w:szCs w:val="24"/>
        </w:rPr>
        <w:t xml:space="preserve"> and webinars in diagnostics are currently available to NPDN members.</w:t>
      </w:r>
    </w:p>
    <w:p w14:paraId="2C06B867" w14:textId="26B754B1" w:rsidR="00A75D6D" w:rsidRDefault="00AE152E">
      <w:pPr>
        <w:spacing w:after="120" w:line="264" w:lineRule="auto"/>
        <w:rPr>
          <w:rFonts w:ascii="Calibri" w:eastAsia="Calibri" w:hAnsi="Calibri" w:cs="Calibri"/>
          <w:sz w:val="24"/>
          <w:szCs w:val="24"/>
          <w:highlight w:val="yellow"/>
        </w:rPr>
      </w:pPr>
      <w:r>
        <w:rPr>
          <w:rFonts w:ascii="Calibri" w:eastAsia="Calibri" w:hAnsi="Calibri" w:cs="Calibri"/>
          <w:b/>
          <w:bCs/>
          <w:sz w:val="24"/>
          <w:szCs w:val="24"/>
        </w:rPr>
        <w:t>171</w:t>
      </w:r>
      <w:r>
        <w:rPr>
          <w:rFonts w:ascii="Calibri" w:eastAsia="Calibri" w:hAnsi="Calibri" w:cs="Calibri"/>
          <w:sz w:val="24"/>
          <w:szCs w:val="24"/>
        </w:rPr>
        <w:t xml:space="preserve"> diagnostic professionals were active users of the NPDN virtual Learning system</w:t>
      </w:r>
      <w:r w:rsidR="00371A10">
        <w:rPr>
          <w:rFonts w:ascii="Calibri" w:eastAsia="Calibri" w:hAnsi="Calibri" w:cs="Calibri"/>
          <w:sz w:val="24"/>
          <w:szCs w:val="24"/>
        </w:rPr>
        <w:t>. D</w:t>
      </w:r>
      <w:r>
        <w:rPr>
          <w:rFonts w:ascii="Calibri" w:eastAsia="Calibri" w:hAnsi="Calibri" w:cs="Calibri"/>
          <w:sz w:val="24"/>
          <w:szCs w:val="24"/>
        </w:rPr>
        <w:t>uring 202</w:t>
      </w:r>
      <w:r w:rsidR="0098676A">
        <w:rPr>
          <w:rFonts w:ascii="Calibri" w:eastAsia="Calibri" w:hAnsi="Calibri" w:cs="Calibri"/>
          <w:sz w:val="24"/>
          <w:szCs w:val="24"/>
        </w:rPr>
        <w:t>5</w:t>
      </w:r>
      <w:r>
        <w:rPr>
          <w:rFonts w:ascii="Calibri" w:eastAsia="Calibri" w:hAnsi="Calibri" w:cs="Calibri"/>
          <w:sz w:val="24"/>
          <w:szCs w:val="24"/>
        </w:rPr>
        <w:t xml:space="preserve">, they jointly completed </w:t>
      </w:r>
      <w:r>
        <w:rPr>
          <w:rFonts w:ascii="Calibri" w:eastAsia="Calibri" w:hAnsi="Calibri" w:cs="Calibri"/>
          <w:b/>
          <w:bCs/>
          <w:sz w:val="24"/>
          <w:szCs w:val="24"/>
        </w:rPr>
        <w:t>121</w:t>
      </w:r>
      <w:r>
        <w:rPr>
          <w:rFonts w:ascii="Calibri" w:eastAsia="Calibri" w:hAnsi="Calibri" w:cs="Calibri"/>
          <w:sz w:val="24"/>
          <w:szCs w:val="24"/>
        </w:rPr>
        <w:t xml:space="preserve"> online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w:t>
      </w:r>
    </w:p>
    <w:p w14:paraId="2C06B868" w14:textId="77777777" w:rsidR="00A75D6D" w:rsidRDefault="00AE152E">
      <w:pPr>
        <w:pStyle w:val="Heading3"/>
      </w:pPr>
      <w:r>
        <w:t>Leadership and Career Opportunities</w:t>
      </w:r>
    </w:p>
    <w:p w14:paraId="2C06B869" w14:textId="5DF09E00"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sz w:val="24"/>
          <w:szCs w:val="24"/>
        </w:rPr>
        <w:t>8</w:t>
      </w:r>
      <w:r>
        <w:rPr>
          <w:rFonts w:ascii="Calibri" w:eastAsia="Calibri" w:hAnsi="Calibri" w:cs="Calibri"/>
          <w:sz w:val="24"/>
          <w:szCs w:val="24"/>
        </w:rPr>
        <w:t xml:space="preserve"> NPDN committees and working groups provide NPDN members with the opportunity to provide leadership and </w:t>
      </w:r>
      <w:r w:rsidR="00D71FAC">
        <w:rPr>
          <w:rFonts w:ascii="Calibri" w:eastAsia="Calibri" w:hAnsi="Calibri" w:cs="Calibri"/>
          <w:sz w:val="24"/>
          <w:szCs w:val="24"/>
        </w:rPr>
        <w:t xml:space="preserve">to </w:t>
      </w:r>
      <w:r>
        <w:rPr>
          <w:rFonts w:ascii="Calibri" w:eastAsia="Calibri" w:hAnsi="Calibri" w:cs="Calibri"/>
          <w:sz w:val="24"/>
          <w:szCs w:val="24"/>
        </w:rPr>
        <w:t xml:space="preserve">steer NPDN Programs that support the diagnostic community. </w:t>
      </w:r>
      <w:r>
        <w:rPr>
          <w:rFonts w:ascii="Calibri" w:eastAsia="Calibri" w:hAnsi="Calibri" w:cs="Calibri"/>
          <w:color w:val="000000"/>
          <w:sz w:val="24"/>
          <w:szCs w:val="24"/>
        </w:rPr>
        <w:t xml:space="preserve">NPDN members representing </w:t>
      </w:r>
      <w:r>
        <w:rPr>
          <w:rFonts w:ascii="Calibri" w:eastAsia="Calibri" w:hAnsi="Calibri" w:cs="Calibri"/>
          <w:b/>
          <w:bCs/>
          <w:sz w:val="24"/>
          <w:szCs w:val="24"/>
        </w:rPr>
        <w:t>54</w:t>
      </w:r>
      <w:r>
        <w:rPr>
          <w:rFonts w:ascii="Calibri" w:eastAsia="Calibri" w:hAnsi="Calibri" w:cs="Calibri"/>
          <w:color w:val="000000"/>
          <w:sz w:val="24"/>
          <w:szCs w:val="24"/>
        </w:rPr>
        <w:t xml:space="preserve"> labs nationwide participated in NPDN committees.</w:t>
      </w:r>
    </w:p>
    <w:p w14:paraId="2C06B86A" w14:textId="77777777" w:rsidR="00A75D6D" w:rsidRDefault="00AE152E">
      <w:pPr>
        <w:pStyle w:val="Heading2"/>
      </w:pPr>
      <w:r>
        <w:t>Accomplishments in Communication</w:t>
      </w:r>
    </w:p>
    <w:p w14:paraId="2C06B86B" w14:textId="3632A4C0"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NPDN aims to facilitate effective and timely communications and productive collaborations with regulatory partners, diagnostic labs, and plant health communities.</w:t>
      </w:r>
    </w:p>
    <w:p w14:paraId="2C06B86C" w14:textId="77777777" w:rsidR="00A75D6D" w:rsidRDefault="00AE152E">
      <w:pPr>
        <w:pStyle w:val="Heading3"/>
      </w:pPr>
      <w:r>
        <w:t>NPDN website</w:t>
      </w:r>
    </w:p>
    <w:p w14:paraId="2C06B86D" w14:textId="6061CAF0"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The NPDN website (npdn.org) provides information about NPDN and </w:t>
      </w:r>
      <w:r w:rsidR="004E355F">
        <w:rPr>
          <w:rFonts w:ascii="Calibri" w:eastAsia="Calibri" w:hAnsi="Calibri" w:cs="Calibri"/>
          <w:color w:val="000000"/>
          <w:sz w:val="24"/>
          <w:szCs w:val="24"/>
        </w:rPr>
        <w:t>its</w:t>
      </w:r>
      <w:r w:rsidR="00B4075B">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programs, it also contains diagnostic and outreach resources useful to diagnosticians in our network. </w:t>
      </w:r>
    </w:p>
    <w:p w14:paraId="2C06B86E" w14:textId="514EB2FB" w:rsidR="00A75D6D" w:rsidRDefault="00AE152E"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sz w:val="24"/>
          <w:szCs w:val="24"/>
        </w:rPr>
        <w:t>89,373</w:t>
      </w:r>
      <w:r>
        <w:rPr>
          <w:rFonts w:ascii="Calibri" w:eastAsia="Calibri" w:hAnsi="Calibri" w:cs="Calibri"/>
          <w:color w:val="000000"/>
          <w:sz w:val="24"/>
          <w:szCs w:val="24"/>
        </w:rPr>
        <w:t xml:space="preserve"> times that visitors engaged (clicks) with the NPDN website in 202</w:t>
      </w:r>
      <w:r w:rsidR="00B4075B">
        <w:rPr>
          <w:rFonts w:ascii="Calibri" w:eastAsia="Calibri" w:hAnsi="Calibri" w:cs="Calibri"/>
          <w:color w:val="000000"/>
          <w:sz w:val="24"/>
          <w:szCs w:val="24"/>
        </w:rPr>
        <w:t>5</w:t>
      </w:r>
      <w:r>
        <w:rPr>
          <w:rFonts w:ascii="Calibri" w:eastAsia="Calibri" w:hAnsi="Calibri" w:cs="Calibri"/>
          <w:color w:val="000000"/>
          <w:sz w:val="24"/>
          <w:szCs w:val="24"/>
        </w:rPr>
        <w:t>.</w:t>
      </w:r>
    </w:p>
    <w:p w14:paraId="2C06B86F" w14:textId="77777777" w:rsidR="00A75D6D" w:rsidRDefault="00AE152E"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sz w:val="24"/>
          <w:szCs w:val="24"/>
        </w:rPr>
        <w:t>226,675</w:t>
      </w:r>
      <w:r>
        <w:rPr>
          <w:rFonts w:ascii="Calibri" w:eastAsia="Calibri" w:hAnsi="Calibri" w:cs="Calibri"/>
          <w:color w:val="000000"/>
          <w:sz w:val="24"/>
          <w:szCs w:val="24"/>
        </w:rPr>
        <w:t xml:space="preserve"> times that the NPDN website was visited.</w:t>
      </w:r>
    </w:p>
    <w:p w14:paraId="2C06B870" w14:textId="77777777" w:rsidR="00A75D6D" w:rsidRDefault="00AE152E">
      <w:pPr>
        <w:pStyle w:val="Heading3"/>
      </w:pPr>
      <w:r>
        <w:t>The NPDN Communicator Newsletter</w:t>
      </w:r>
    </w:p>
    <w:p w14:paraId="2C06B871"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The NPDN Communicator is a monthly publication to share information valuable to the plant diagnostic community.</w:t>
      </w:r>
    </w:p>
    <w:p w14:paraId="2C06B872" w14:textId="27DC288A"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color w:val="000000"/>
          <w:sz w:val="24"/>
          <w:szCs w:val="24"/>
        </w:rPr>
        <w:t>12</w:t>
      </w:r>
      <w:r>
        <w:rPr>
          <w:rFonts w:ascii="Calibri" w:eastAsia="Calibri" w:hAnsi="Calibri" w:cs="Calibri"/>
          <w:color w:val="000000"/>
          <w:sz w:val="24"/>
          <w:szCs w:val="24"/>
        </w:rPr>
        <w:t xml:space="preserve"> issues of the NPDN Communicator were published in 202</w:t>
      </w:r>
      <w:r>
        <w:rPr>
          <w:rFonts w:ascii="Calibri" w:eastAsia="Calibri" w:hAnsi="Calibri" w:cs="Calibri"/>
          <w:sz w:val="24"/>
          <w:szCs w:val="24"/>
        </w:rPr>
        <w:t>5</w:t>
      </w:r>
      <w:r>
        <w:rPr>
          <w:rFonts w:ascii="Calibri" w:eastAsia="Calibri" w:hAnsi="Calibri" w:cs="Calibri"/>
          <w:color w:val="000000"/>
          <w:sz w:val="24"/>
          <w:szCs w:val="24"/>
        </w:rPr>
        <w:t xml:space="preserve">; with a </w:t>
      </w:r>
      <w:r w:rsidR="00B4075B">
        <w:rPr>
          <w:rFonts w:ascii="Calibri" w:eastAsia="Calibri" w:hAnsi="Calibri" w:cs="Calibri"/>
          <w:color w:val="000000"/>
          <w:sz w:val="24"/>
          <w:szCs w:val="24"/>
        </w:rPr>
        <w:t xml:space="preserve">monthly </w:t>
      </w:r>
      <w:r>
        <w:rPr>
          <w:rFonts w:ascii="Calibri" w:eastAsia="Calibri" w:hAnsi="Calibri" w:cs="Calibri"/>
          <w:color w:val="000000"/>
          <w:sz w:val="24"/>
          <w:szCs w:val="24"/>
        </w:rPr>
        <w:t xml:space="preserve">open rate of </w:t>
      </w:r>
      <w:r>
        <w:rPr>
          <w:rFonts w:ascii="Calibri" w:eastAsia="Calibri" w:hAnsi="Calibri" w:cs="Calibri"/>
          <w:b/>
          <w:bCs/>
          <w:sz w:val="24"/>
          <w:szCs w:val="24"/>
        </w:rPr>
        <w:t>30.25</w:t>
      </w:r>
      <w:r>
        <w:rPr>
          <w:rFonts w:ascii="Calibri" w:eastAsia="Calibri" w:hAnsi="Calibri" w:cs="Calibri"/>
          <w:color w:val="000000"/>
          <w:sz w:val="24"/>
          <w:szCs w:val="24"/>
        </w:rPr>
        <w:t xml:space="preserve">% and click average of </w:t>
      </w:r>
      <w:r>
        <w:rPr>
          <w:rFonts w:ascii="Calibri" w:eastAsia="Calibri" w:hAnsi="Calibri" w:cs="Calibri"/>
          <w:b/>
          <w:bCs/>
          <w:color w:val="000000"/>
          <w:sz w:val="24"/>
          <w:szCs w:val="24"/>
        </w:rPr>
        <w:t>11.27</w:t>
      </w:r>
      <w:r>
        <w:rPr>
          <w:rFonts w:ascii="Calibri" w:eastAsia="Calibri" w:hAnsi="Calibri" w:cs="Calibri"/>
          <w:color w:val="000000"/>
          <w:sz w:val="24"/>
          <w:szCs w:val="24"/>
        </w:rPr>
        <w:t xml:space="preserve">%. </w:t>
      </w:r>
    </w:p>
    <w:p w14:paraId="2C06B873"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color w:val="000000"/>
          <w:sz w:val="24"/>
          <w:szCs w:val="24"/>
        </w:rPr>
        <w:t>10</w:t>
      </w:r>
      <w:r>
        <w:rPr>
          <w:rFonts w:ascii="Calibri" w:eastAsia="Calibri" w:hAnsi="Calibri" w:cs="Calibri"/>
          <w:b/>
          <w:bCs/>
          <w:sz w:val="24"/>
          <w:szCs w:val="24"/>
        </w:rPr>
        <w:t>95</w:t>
      </w:r>
      <w:r>
        <w:rPr>
          <w:rFonts w:ascii="Calibri" w:eastAsia="Calibri" w:hAnsi="Calibri" w:cs="Calibri"/>
          <w:color w:val="000000"/>
          <w:sz w:val="24"/>
          <w:szCs w:val="24"/>
        </w:rPr>
        <w:t xml:space="preserve"> subscribers including NPDN members and non-NPDN stakeholders received the NPDN Communicator.</w:t>
      </w:r>
    </w:p>
    <w:p w14:paraId="2C06B874"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color w:val="000000"/>
          <w:sz w:val="24"/>
          <w:szCs w:val="24"/>
        </w:rPr>
        <w:lastRenderedPageBreak/>
        <w:t>8</w:t>
      </w:r>
      <w:r>
        <w:rPr>
          <w:rFonts w:ascii="Calibri" w:eastAsia="Calibri" w:hAnsi="Calibri" w:cs="Calibri"/>
          <w:b/>
          <w:bCs/>
          <w:sz w:val="24"/>
          <w:szCs w:val="24"/>
        </w:rPr>
        <w:t>7</w:t>
      </w:r>
      <w:r>
        <w:rPr>
          <w:rFonts w:ascii="Calibri" w:eastAsia="Calibri" w:hAnsi="Calibri" w:cs="Calibri"/>
          <w:color w:val="000000"/>
          <w:sz w:val="24"/>
          <w:szCs w:val="24"/>
        </w:rPr>
        <w:t xml:space="preserve"> published articles included committee and program information, network news, articles about work conducted by NPDN members, announcements from regulatory partners, and various articles on diagnostics. </w:t>
      </w:r>
    </w:p>
    <w:p w14:paraId="2C06B875" w14:textId="77777777" w:rsidR="00A75D6D" w:rsidRDefault="00AE152E">
      <w:pPr>
        <w:pStyle w:val="Heading3"/>
      </w:pPr>
      <w:r>
        <w:t xml:space="preserve">Regulatory communication and support: </w:t>
      </w:r>
    </w:p>
    <w:p w14:paraId="2C06B876"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NPDN strives to support and foster strong relationships with our regulatory partners in protecting plant health. </w:t>
      </w:r>
    </w:p>
    <w:p w14:paraId="2C06B877"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sz w:val="24"/>
          <w:szCs w:val="24"/>
        </w:rPr>
        <w:t>18</w:t>
      </w:r>
      <w:r>
        <w:rPr>
          <w:rFonts w:ascii="Calibri" w:eastAsia="Calibri" w:hAnsi="Calibri" w:cs="Calibri"/>
          <w:color w:val="000000"/>
          <w:sz w:val="24"/>
          <w:szCs w:val="24"/>
        </w:rPr>
        <w:t xml:space="preserve"> state department of agriculture labs are members of NPDN. </w:t>
      </w:r>
      <w:r>
        <w:rPr>
          <w:rFonts w:ascii="Calibri" w:eastAsia="Calibri" w:hAnsi="Calibri" w:cs="Calibri"/>
          <w:b/>
          <w:bCs/>
          <w:sz w:val="24"/>
          <w:szCs w:val="24"/>
        </w:rPr>
        <w:t xml:space="preserve">45 </w:t>
      </w:r>
      <w:r>
        <w:rPr>
          <w:rFonts w:ascii="Calibri" w:eastAsia="Calibri" w:hAnsi="Calibri" w:cs="Calibri"/>
          <w:color w:val="000000"/>
          <w:sz w:val="24"/>
          <w:szCs w:val="24"/>
        </w:rPr>
        <w:t xml:space="preserve">NPDN members are diagnosticians from SDA labs. </w:t>
      </w:r>
    </w:p>
    <w:p w14:paraId="2C06B878" w14:textId="792CCFDB"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color w:val="000000"/>
          <w:sz w:val="24"/>
          <w:szCs w:val="24"/>
        </w:rPr>
        <w:t>4</w:t>
      </w:r>
      <w:r>
        <w:rPr>
          <w:rFonts w:ascii="Calibri" w:eastAsia="Calibri" w:hAnsi="Calibri" w:cs="Calibri"/>
          <w:b/>
          <w:bCs/>
          <w:sz w:val="24"/>
          <w:szCs w:val="24"/>
        </w:rPr>
        <w:t>3</w:t>
      </w:r>
      <w:r>
        <w:rPr>
          <w:rFonts w:ascii="Calibri" w:eastAsia="Calibri" w:hAnsi="Calibri" w:cs="Calibri"/>
          <w:color w:val="000000"/>
          <w:sz w:val="24"/>
          <w:szCs w:val="24"/>
        </w:rPr>
        <w:t xml:space="preserve"> NPDN university plant clinics process regulatory samples for their SDA or act as the SDA lab in their state.</w:t>
      </w:r>
    </w:p>
    <w:p w14:paraId="2C06B879"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highlight w:val="yellow"/>
        </w:rPr>
      </w:pPr>
      <w:r>
        <w:rPr>
          <w:rFonts w:ascii="Calibri" w:eastAsia="Calibri" w:hAnsi="Calibri" w:cs="Calibri"/>
          <w:color w:val="000000"/>
          <w:sz w:val="24"/>
          <w:szCs w:val="24"/>
        </w:rPr>
        <w:t>NPDN representatives</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participated in</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all</w:t>
      </w:r>
      <w:r>
        <w:rPr>
          <w:rFonts w:ascii="Calibri" w:eastAsia="Calibri" w:hAnsi="Calibri" w:cs="Calibri"/>
          <w:b/>
          <w:bCs/>
          <w:color w:val="000000"/>
          <w:sz w:val="24"/>
          <w:szCs w:val="24"/>
        </w:rPr>
        <w:t xml:space="preserve"> 5</w:t>
      </w:r>
      <w:r>
        <w:rPr>
          <w:rFonts w:ascii="Calibri" w:eastAsia="Calibri" w:hAnsi="Calibri" w:cs="Calibri"/>
          <w:color w:val="000000"/>
          <w:sz w:val="24"/>
          <w:szCs w:val="24"/>
        </w:rPr>
        <w:t xml:space="preserve"> Regional and National Plant Board meetings.</w:t>
      </w:r>
      <w:r>
        <w:rPr>
          <w:rFonts w:ascii="Calibri" w:eastAsia="Calibri" w:hAnsi="Calibri" w:cs="Calibri"/>
          <w:color w:val="000000"/>
          <w:sz w:val="24"/>
          <w:szCs w:val="24"/>
          <w:highlight w:val="yellow"/>
        </w:rPr>
        <w:t xml:space="preserve"> </w:t>
      </w:r>
    </w:p>
    <w:p w14:paraId="2C06B87A" w14:textId="77777777" w:rsidR="00A75D6D" w:rsidRDefault="00AE152E">
      <w:pPr>
        <w:pStyle w:val="Heading3"/>
      </w:pPr>
      <w:r>
        <w:t>NPDN Labs worked to advance the science of diagnostics</w:t>
      </w:r>
    </w:p>
    <w:p w14:paraId="2C06B87B"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NPDN diagnosticians are active in communication in the field of diagnostics for scientific and academic audiences. In 202</w:t>
      </w:r>
      <w:r>
        <w:rPr>
          <w:rFonts w:ascii="Calibri" w:eastAsia="Calibri" w:hAnsi="Calibri" w:cs="Calibri"/>
          <w:sz w:val="24"/>
          <w:szCs w:val="24"/>
        </w:rPr>
        <w:t>5</w:t>
      </w:r>
      <w:r>
        <w:rPr>
          <w:rFonts w:ascii="Calibri" w:eastAsia="Calibri" w:hAnsi="Calibri" w:cs="Calibri"/>
          <w:color w:val="000000"/>
          <w:sz w:val="24"/>
          <w:szCs w:val="24"/>
        </w:rPr>
        <w:t>, NPDN diagnosticians produced:</w:t>
      </w:r>
    </w:p>
    <w:p w14:paraId="2C06B87C" w14:textId="77777777" w:rsidR="00A75D6D" w:rsidRDefault="00AE152E"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sz w:val="24"/>
          <w:szCs w:val="24"/>
        </w:rPr>
        <w:t>151</w:t>
      </w:r>
      <w:r>
        <w:rPr>
          <w:rFonts w:ascii="Calibri" w:eastAsia="Calibri" w:hAnsi="Calibri" w:cs="Calibri"/>
          <w:color w:val="000000"/>
          <w:sz w:val="24"/>
          <w:szCs w:val="24"/>
        </w:rPr>
        <w:t xml:space="preserve"> peer-reviewed publications related to diagnostic work.</w:t>
      </w:r>
    </w:p>
    <w:p w14:paraId="2C06B87D" w14:textId="344F630C" w:rsidR="00A75D6D" w:rsidRDefault="00AE152E"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color w:val="000000"/>
          <w:sz w:val="24"/>
          <w:szCs w:val="24"/>
        </w:rPr>
        <w:t>2</w:t>
      </w:r>
      <w:r>
        <w:rPr>
          <w:rFonts w:ascii="Calibri" w:eastAsia="Calibri" w:hAnsi="Calibri" w:cs="Calibri"/>
          <w:b/>
          <w:bCs/>
          <w:sz w:val="24"/>
          <w:szCs w:val="24"/>
        </w:rPr>
        <w:t xml:space="preserve">10 </w:t>
      </w:r>
      <w:r>
        <w:rPr>
          <w:rFonts w:ascii="Calibri" w:eastAsia="Calibri" w:hAnsi="Calibri" w:cs="Calibri"/>
          <w:color w:val="000000"/>
          <w:sz w:val="24"/>
          <w:szCs w:val="24"/>
        </w:rPr>
        <w:t xml:space="preserve">presentations at scientific conferences and </w:t>
      </w:r>
      <w:r w:rsidR="00607A93">
        <w:rPr>
          <w:rFonts w:ascii="Calibri" w:eastAsia="Calibri" w:hAnsi="Calibri" w:cs="Calibri"/>
          <w:color w:val="000000"/>
          <w:sz w:val="24"/>
          <w:szCs w:val="24"/>
        </w:rPr>
        <w:t>meetings and</w:t>
      </w:r>
      <w:r>
        <w:rPr>
          <w:rFonts w:ascii="Calibri" w:eastAsia="Calibri" w:hAnsi="Calibri" w:cs="Calibri"/>
          <w:color w:val="000000"/>
          <w:sz w:val="24"/>
          <w:szCs w:val="24"/>
        </w:rPr>
        <w:t xml:space="preserve"> </w:t>
      </w:r>
      <w:r w:rsidR="0071031A">
        <w:rPr>
          <w:rFonts w:ascii="Calibri" w:eastAsia="Calibri" w:hAnsi="Calibri" w:cs="Calibri"/>
          <w:color w:val="000000"/>
          <w:sz w:val="24"/>
          <w:szCs w:val="24"/>
        </w:rPr>
        <w:t xml:space="preserve">taught </w:t>
      </w:r>
      <w:r>
        <w:rPr>
          <w:rFonts w:ascii="Calibri" w:eastAsia="Calibri" w:hAnsi="Calibri" w:cs="Calibri"/>
          <w:b/>
          <w:bCs/>
          <w:sz w:val="24"/>
          <w:szCs w:val="24"/>
        </w:rPr>
        <w:t>322</w:t>
      </w:r>
      <w:r>
        <w:rPr>
          <w:rFonts w:ascii="Calibri" w:eastAsia="Calibri" w:hAnsi="Calibri" w:cs="Calibri"/>
          <w:color w:val="000000"/>
          <w:sz w:val="24"/>
          <w:szCs w:val="24"/>
        </w:rPr>
        <w:t xml:space="preserve"> courses.</w:t>
      </w:r>
    </w:p>
    <w:p w14:paraId="2C06B87E" w14:textId="596048F0" w:rsidR="00A75D6D" w:rsidRDefault="00AE152E">
      <w:pPr>
        <w:pStyle w:val="Heading3"/>
      </w:pPr>
      <w:r>
        <w:t xml:space="preserve">NPDN labs reach </w:t>
      </w:r>
      <w:r w:rsidR="0071031A">
        <w:t xml:space="preserve">out </w:t>
      </w:r>
      <w:r>
        <w:t>to plant health communities</w:t>
      </w:r>
    </w:p>
    <w:p w14:paraId="2C06B87F"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NPDN diagnosticians are active in Outreach &amp; Extension (O&amp;E) communication with non-academic plant health communities in their state. In 202</w:t>
      </w:r>
      <w:r>
        <w:rPr>
          <w:rFonts w:ascii="Calibri" w:eastAsia="Calibri" w:hAnsi="Calibri" w:cs="Calibri"/>
          <w:sz w:val="24"/>
          <w:szCs w:val="24"/>
        </w:rPr>
        <w:t>5</w:t>
      </w:r>
      <w:r>
        <w:rPr>
          <w:rFonts w:ascii="Calibri" w:eastAsia="Calibri" w:hAnsi="Calibri" w:cs="Calibri"/>
          <w:color w:val="000000"/>
          <w:sz w:val="24"/>
          <w:szCs w:val="24"/>
        </w:rPr>
        <w:t xml:space="preserve">, NPDN diagnosticians </w:t>
      </w:r>
      <w:proofErr w:type="gramStart"/>
      <w:r>
        <w:rPr>
          <w:rFonts w:ascii="Calibri" w:eastAsia="Calibri" w:hAnsi="Calibri" w:cs="Calibri"/>
          <w:color w:val="000000"/>
          <w:sz w:val="24"/>
          <w:szCs w:val="24"/>
        </w:rPr>
        <w:t>reached out to</w:t>
      </w:r>
      <w:proofErr w:type="gramEnd"/>
      <w:r>
        <w:rPr>
          <w:rFonts w:ascii="Calibri" w:eastAsia="Calibri" w:hAnsi="Calibri" w:cs="Calibri"/>
          <w:color w:val="000000"/>
          <w:sz w:val="24"/>
          <w:szCs w:val="24"/>
        </w:rPr>
        <w:t xml:space="preserve"> </w:t>
      </w:r>
      <w:r>
        <w:rPr>
          <w:rFonts w:ascii="Calibri" w:eastAsia="Calibri" w:hAnsi="Calibri" w:cs="Calibri"/>
          <w:b/>
          <w:bCs/>
          <w:sz w:val="24"/>
          <w:szCs w:val="24"/>
        </w:rPr>
        <w:t>27,797,459</w:t>
      </w:r>
      <w:r>
        <w:rPr>
          <w:rFonts w:ascii="Calibri" w:eastAsia="Calibri" w:hAnsi="Calibri" w:cs="Calibri"/>
          <w:color w:val="000000"/>
          <w:sz w:val="24"/>
          <w:szCs w:val="24"/>
        </w:rPr>
        <w:t xml:space="preserve"> people and produced:</w:t>
      </w:r>
    </w:p>
    <w:p w14:paraId="2C06B880" w14:textId="77777777" w:rsidR="00A75D6D" w:rsidRDefault="00AE152E"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sz w:val="24"/>
          <w:szCs w:val="24"/>
        </w:rPr>
        <w:t>419</w:t>
      </w:r>
      <w:r>
        <w:rPr>
          <w:rFonts w:ascii="Calibri" w:eastAsia="Calibri" w:hAnsi="Calibri" w:cs="Calibri"/>
          <w:color w:val="000000"/>
          <w:sz w:val="24"/>
          <w:szCs w:val="24"/>
        </w:rPr>
        <w:t xml:space="preserve"> outreach publications such as webpages, extension publications, and fact sheets.</w:t>
      </w:r>
    </w:p>
    <w:p w14:paraId="2C06B881" w14:textId="77777777" w:rsidR="00A75D6D" w:rsidRDefault="00AE152E" w:rsidP="00264D37">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color w:val="000000"/>
          <w:sz w:val="24"/>
          <w:szCs w:val="24"/>
        </w:rPr>
        <w:t>1,</w:t>
      </w:r>
      <w:r>
        <w:rPr>
          <w:rFonts w:ascii="Calibri" w:eastAsia="Calibri" w:hAnsi="Calibri" w:cs="Calibri"/>
          <w:b/>
          <w:bCs/>
          <w:sz w:val="24"/>
          <w:szCs w:val="24"/>
        </w:rPr>
        <w:t>159</w:t>
      </w:r>
      <w:r>
        <w:rPr>
          <w:rFonts w:ascii="Calibri" w:eastAsia="Calibri" w:hAnsi="Calibri" w:cs="Calibri"/>
          <w:color w:val="000000"/>
          <w:sz w:val="24"/>
          <w:szCs w:val="24"/>
        </w:rPr>
        <w:t xml:space="preserve"> Outreach &amp; Extension presentations, and </w:t>
      </w:r>
      <w:r>
        <w:rPr>
          <w:rFonts w:ascii="Calibri" w:eastAsia="Calibri" w:hAnsi="Calibri" w:cs="Calibri"/>
          <w:b/>
          <w:bCs/>
          <w:sz w:val="24"/>
          <w:szCs w:val="24"/>
        </w:rPr>
        <w:t xml:space="preserve">232 </w:t>
      </w:r>
      <w:r>
        <w:rPr>
          <w:rFonts w:ascii="Calibri" w:eastAsia="Calibri" w:hAnsi="Calibri" w:cs="Calibri"/>
          <w:color w:val="000000"/>
          <w:sz w:val="24"/>
          <w:szCs w:val="24"/>
        </w:rPr>
        <w:t>radio or video appearances.</w:t>
      </w:r>
    </w:p>
    <w:p w14:paraId="2C06B882" w14:textId="77777777" w:rsidR="00A75D6D" w:rsidRPr="00BE661D" w:rsidRDefault="00AE152E" w:rsidP="00BE661D">
      <w:pPr>
        <w:pStyle w:val="Heading2"/>
      </w:pPr>
      <w:r w:rsidRPr="00BE661D">
        <w:t>Fiscal efficiency and network operations</w:t>
      </w:r>
    </w:p>
    <w:p w14:paraId="2C06B883"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 xml:space="preserve">The five regional centers coordinate their work such that all the budgetary programmatic work for NPDN is centralized at the national level. Different regions take the leadership role in advancing different goals to reduce duplicative efforts and increase budget efficiency. </w:t>
      </w:r>
    </w:p>
    <w:p w14:paraId="2C06B884"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The organization has one full-time position (Secretary and National Coordinator) and two part-time positions (Accreditation Program Manager and Professional Development Coordinator).</w:t>
      </w:r>
    </w:p>
    <w:p w14:paraId="2C06B885"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NPDN programs work with member-led committees that steer the operation and implementation of the program activities. This bottom-up approach ensures that NPDN programs serve the needs of the diagnostic community.</w:t>
      </w:r>
    </w:p>
    <w:p w14:paraId="2C06B886" w14:textId="7526358E"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In addition, NPDN provides financial support to one</w:t>
      </w:r>
      <w:r w:rsidR="0018386F">
        <w:rPr>
          <w:rFonts w:ascii="Calibri" w:eastAsia="Calibri" w:hAnsi="Calibri" w:cs="Calibri"/>
          <w:color w:val="000000"/>
          <w:sz w:val="24"/>
          <w:szCs w:val="24"/>
        </w:rPr>
        <w:t xml:space="preserve"> sentinel</w:t>
      </w:r>
      <w:r>
        <w:rPr>
          <w:rFonts w:ascii="Calibri" w:eastAsia="Calibri" w:hAnsi="Calibri" w:cs="Calibri"/>
          <w:color w:val="000000"/>
          <w:sz w:val="24"/>
          <w:szCs w:val="24"/>
        </w:rPr>
        <w:t xml:space="preserve"> lab per state, averaging $25,000 per year. This financial support ensures lab participation</w:t>
      </w:r>
      <w:r w:rsidR="00332398">
        <w:rPr>
          <w:rFonts w:ascii="Calibri" w:eastAsia="Calibri" w:hAnsi="Calibri" w:cs="Calibri"/>
          <w:color w:val="000000"/>
          <w:sz w:val="24"/>
          <w:szCs w:val="24"/>
        </w:rPr>
        <w:t xml:space="preserve"> from every state</w:t>
      </w:r>
      <w:r>
        <w:rPr>
          <w:rFonts w:ascii="Calibri" w:eastAsia="Calibri" w:hAnsi="Calibri" w:cs="Calibri"/>
          <w:color w:val="000000"/>
          <w:sz w:val="24"/>
          <w:szCs w:val="24"/>
        </w:rPr>
        <w:t xml:space="preserve"> and provides stability to university labs that frequently face uncertainty in their year-to-year funding. </w:t>
      </w:r>
    </w:p>
    <w:p w14:paraId="2C06B887" w14:textId="77777777" w:rsidR="00A75D6D" w:rsidRPr="00BE661D" w:rsidRDefault="00AE152E" w:rsidP="00BE661D">
      <w:pPr>
        <w:pStyle w:val="Heading2"/>
      </w:pPr>
      <w:r w:rsidRPr="00BE661D">
        <w:t>Methods</w:t>
      </w:r>
    </w:p>
    <w:p w14:paraId="2C06B888"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This report is based on answers to the 202</w:t>
      </w:r>
      <w:r>
        <w:rPr>
          <w:rFonts w:ascii="Calibri" w:eastAsia="Calibri" w:hAnsi="Calibri" w:cs="Calibri"/>
          <w:sz w:val="24"/>
          <w:szCs w:val="24"/>
        </w:rPr>
        <w:t>5</w:t>
      </w:r>
      <w:r>
        <w:rPr>
          <w:rFonts w:ascii="Calibri" w:eastAsia="Calibri" w:hAnsi="Calibri" w:cs="Calibri"/>
          <w:color w:val="000000"/>
          <w:sz w:val="24"/>
          <w:szCs w:val="24"/>
        </w:rPr>
        <w:t xml:space="preserve"> NPDN Annual Lab Capacity and Impact Evaluation, and data housed in the NPDN National Data Repository. </w:t>
      </w:r>
    </w:p>
    <w:p w14:paraId="2C06B889" w14:textId="7C607FC4"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b/>
          <w:bCs/>
          <w:color w:val="000000"/>
          <w:sz w:val="24"/>
          <w:szCs w:val="24"/>
        </w:rPr>
        <w:t>7</w:t>
      </w:r>
      <w:r w:rsidR="00D81C94">
        <w:rPr>
          <w:rFonts w:ascii="Calibri" w:eastAsia="Calibri" w:hAnsi="Calibri" w:cs="Calibri"/>
          <w:b/>
          <w:bCs/>
          <w:color w:val="000000"/>
          <w:sz w:val="24"/>
          <w:szCs w:val="24"/>
        </w:rPr>
        <w:t>1</w:t>
      </w:r>
      <w:r>
        <w:rPr>
          <w:rFonts w:ascii="Calibri" w:eastAsia="Calibri" w:hAnsi="Calibri" w:cs="Calibri"/>
          <w:color w:val="000000"/>
          <w:sz w:val="24"/>
          <w:szCs w:val="24"/>
        </w:rPr>
        <w:t xml:space="preserve"> labs from </w:t>
      </w:r>
      <w:r>
        <w:rPr>
          <w:rFonts w:ascii="Calibri" w:eastAsia="Calibri" w:hAnsi="Calibri" w:cs="Calibri"/>
          <w:b/>
          <w:bCs/>
          <w:color w:val="000000"/>
          <w:sz w:val="24"/>
          <w:szCs w:val="24"/>
        </w:rPr>
        <w:t>5</w:t>
      </w:r>
      <w:r w:rsidR="00D81C94">
        <w:rPr>
          <w:rFonts w:ascii="Calibri" w:eastAsia="Calibri" w:hAnsi="Calibri" w:cs="Calibri"/>
          <w:b/>
          <w:bCs/>
          <w:sz w:val="24"/>
          <w:szCs w:val="24"/>
        </w:rPr>
        <w:t>1</w:t>
      </w:r>
      <w:r>
        <w:rPr>
          <w:rFonts w:ascii="Calibri" w:eastAsia="Calibri" w:hAnsi="Calibri" w:cs="Calibri"/>
          <w:color w:val="000000"/>
          <w:sz w:val="24"/>
          <w:szCs w:val="24"/>
        </w:rPr>
        <w:t xml:space="preserve"> states and territories answered the 202</w:t>
      </w:r>
      <w:r w:rsidR="00332398">
        <w:rPr>
          <w:rFonts w:ascii="Calibri" w:eastAsia="Calibri" w:hAnsi="Calibri" w:cs="Calibri"/>
          <w:color w:val="000000"/>
          <w:sz w:val="24"/>
          <w:szCs w:val="24"/>
        </w:rPr>
        <w:t>5</w:t>
      </w:r>
      <w:r w:rsidR="008E57F6">
        <w:rPr>
          <w:rFonts w:ascii="Calibri" w:eastAsia="Calibri" w:hAnsi="Calibri" w:cs="Calibri"/>
          <w:color w:val="000000"/>
          <w:sz w:val="24"/>
          <w:szCs w:val="24"/>
        </w:rPr>
        <w:t xml:space="preserve"> </w:t>
      </w:r>
      <w:r>
        <w:rPr>
          <w:rFonts w:ascii="Calibri" w:eastAsia="Calibri" w:hAnsi="Calibri" w:cs="Calibri"/>
          <w:color w:val="000000"/>
          <w:sz w:val="24"/>
          <w:szCs w:val="24"/>
        </w:rPr>
        <w:t>Evaluation. Respondents represented labs from Land Grant Universities (</w:t>
      </w:r>
      <w:r w:rsidR="008E57F6">
        <w:rPr>
          <w:rFonts w:ascii="Calibri" w:eastAsia="Calibri" w:hAnsi="Calibri" w:cs="Calibri"/>
          <w:color w:val="000000"/>
          <w:sz w:val="24"/>
          <w:szCs w:val="24"/>
        </w:rPr>
        <w:t>87</w:t>
      </w:r>
      <w:r>
        <w:rPr>
          <w:rFonts w:ascii="Calibri" w:eastAsia="Calibri" w:hAnsi="Calibri" w:cs="Calibri"/>
          <w:color w:val="000000"/>
          <w:sz w:val="24"/>
          <w:szCs w:val="24"/>
        </w:rPr>
        <w:t>%) and State Departments of Ag (</w:t>
      </w:r>
      <w:r w:rsidR="008E57F6">
        <w:rPr>
          <w:rFonts w:ascii="Calibri" w:eastAsia="Calibri" w:hAnsi="Calibri" w:cs="Calibri"/>
          <w:color w:val="000000"/>
          <w:sz w:val="24"/>
          <w:szCs w:val="24"/>
        </w:rPr>
        <w:t>13</w:t>
      </w:r>
      <w:r>
        <w:rPr>
          <w:rFonts w:ascii="Calibri" w:eastAsia="Calibri" w:hAnsi="Calibri" w:cs="Calibri"/>
          <w:color w:val="000000"/>
          <w:sz w:val="24"/>
          <w:szCs w:val="24"/>
        </w:rPr>
        <w:t xml:space="preserve">%). </w:t>
      </w:r>
    </w:p>
    <w:p w14:paraId="2C06B88A" w14:textId="77777777" w:rsidR="00A75D6D" w:rsidRDefault="00AE152E">
      <w:pPr>
        <w:pBdr>
          <w:top w:val="nil"/>
          <w:left w:val="nil"/>
          <w:bottom w:val="nil"/>
          <w:right w:val="nil"/>
          <w:between w:val="nil"/>
        </w:pBdr>
        <w:spacing w:after="120" w:line="264" w:lineRule="auto"/>
        <w:rPr>
          <w:rFonts w:ascii="Calibri" w:eastAsia="Calibri" w:hAnsi="Calibri" w:cs="Calibri"/>
          <w:color w:val="000000"/>
          <w:sz w:val="24"/>
          <w:szCs w:val="24"/>
        </w:rPr>
      </w:pPr>
      <w:r>
        <w:rPr>
          <w:rFonts w:ascii="Calibri" w:eastAsia="Calibri" w:hAnsi="Calibri" w:cs="Calibri"/>
          <w:color w:val="000000"/>
          <w:sz w:val="24"/>
          <w:szCs w:val="24"/>
        </w:rPr>
        <w:t>Year-to-year variations in the statistics shown in this report are partly due to differences in the number of labs responding to the survey.</w:t>
      </w:r>
    </w:p>
    <w:p w14:paraId="2C06B88B" w14:textId="77777777" w:rsidR="00A75D6D" w:rsidRDefault="00A75D6D">
      <w:pPr>
        <w:rPr>
          <w:highlight w:val="yellow"/>
        </w:rPr>
      </w:pPr>
    </w:p>
    <w:sectPr w:rsidR="00A75D6D">
      <w:headerReference w:type="default" r:id="rId9"/>
      <w:footerReference w:type="default" r:id="rId10"/>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CB8D0" w14:textId="77777777" w:rsidR="00AE152E" w:rsidRDefault="00AE152E">
      <w:pPr>
        <w:spacing w:before="0" w:after="0" w:line="240" w:lineRule="auto"/>
      </w:pPr>
      <w:r>
        <w:separator/>
      </w:r>
    </w:p>
  </w:endnote>
  <w:endnote w:type="continuationSeparator" w:id="0">
    <w:p w14:paraId="533AA4E0" w14:textId="77777777" w:rsidR="00AE152E" w:rsidRDefault="00AE15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DC9DE13-CA17-4F05-9C0E-D04E6CB4E8DD}"/>
  </w:font>
  <w:font w:name="Courier New">
    <w:panose1 w:val="02070309020205020404"/>
    <w:charset w:val="00"/>
    <w:family w:val="modern"/>
    <w:pitch w:val="fixed"/>
    <w:sig w:usb0="E0002EFF" w:usb1="C0007843" w:usb2="00000009" w:usb3="00000000" w:csb0="000001FF" w:csb1="00000000"/>
  </w:font>
  <w:font w:name="Gill Sans">
    <w:altName w:val="Calibri"/>
    <w:charset w:val="00"/>
    <w:family w:val="auto"/>
    <w:pitch w:val="default"/>
    <w:embedRegular r:id="rId2" w:fontKey="{D9C1718E-C4F3-43F3-8D10-66D32316D22C}"/>
    <w:embedBold r:id="rId3" w:fontKey="{A752D1D5-A620-4428-93AF-C6BAFC60E530}"/>
    <w:embedItalic r:id="rId4" w:fontKey="{65359061-0E98-4B01-8481-C7FDCD7DB0B6}"/>
  </w:font>
  <w:font w:name="Segoe UI">
    <w:panose1 w:val="020B0502040204020203"/>
    <w:charset w:val="00"/>
    <w:family w:val="swiss"/>
    <w:pitch w:val="variable"/>
    <w:sig w:usb0="E4002EFF" w:usb1="C000E47F" w:usb2="00000009" w:usb3="00000000" w:csb0="000001FF" w:csb1="00000000"/>
    <w:embedRegular r:id="rId5" w:fontKey="{7EB2CD38-1998-45C8-AFAB-4A229374984D}"/>
  </w:font>
  <w:font w:name="Gill Sans MT">
    <w:panose1 w:val="020B0502020104020203"/>
    <w:charset w:val="00"/>
    <w:family w:val="swiss"/>
    <w:pitch w:val="variable"/>
    <w:sig w:usb0="00000007" w:usb1="00000000" w:usb2="00000000" w:usb3="00000000" w:csb0="00000003" w:csb1="00000000"/>
    <w:embedRegular r:id="rId6" w:fontKey="{75A168AC-8589-413D-BC96-44BC78F141D1}"/>
  </w:font>
  <w:font w:name="Calibri">
    <w:panose1 w:val="020F0502020204030204"/>
    <w:charset w:val="00"/>
    <w:family w:val="swiss"/>
    <w:pitch w:val="variable"/>
    <w:sig w:usb0="E4002EFF" w:usb1="C200247B" w:usb2="00000009" w:usb3="00000000" w:csb0="000001FF" w:csb1="00000000"/>
    <w:embedRegular r:id="rId7" w:fontKey="{4C8EAAFC-423E-4884-87D3-737A05120E88}"/>
    <w:embedBold r:id="rId8" w:fontKey="{628C90E4-EEAB-462F-B7A2-65F789CCFAB6}"/>
    <w:embedItalic r:id="rId9" w:fontKey="{8B9F1D6F-8FDE-4192-A32D-FB98F9F7A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401407"/>
      <w:docPartObj>
        <w:docPartGallery w:val="Page Numbers (Bottom of Page)"/>
        <w:docPartUnique/>
      </w:docPartObj>
    </w:sdtPr>
    <w:sdtEndPr>
      <w:rPr>
        <w:noProof/>
      </w:rPr>
    </w:sdtEndPr>
    <w:sdtContent>
      <w:p w14:paraId="3620E08F" w14:textId="4394E022" w:rsidR="00117F13" w:rsidRDefault="00117F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06B890" w14:textId="77777777" w:rsidR="00A75D6D" w:rsidRDefault="00A75D6D">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7B382" w14:textId="77777777" w:rsidR="00AE152E" w:rsidRDefault="00AE152E">
      <w:pPr>
        <w:spacing w:before="0" w:after="0" w:line="240" w:lineRule="auto"/>
      </w:pPr>
      <w:r>
        <w:separator/>
      </w:r>
    </w:p>
  </w:footnote>
  <w:footnote w:type="continuationSeparator" w:id="0">
    <w:p w14:paraId="3FBBB944" w14:textId="77777777" w:rsidR="00AE152E" w:rsidRDefault="00AE152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B88E" w14:textId="77777777" w:rsidR="00A75D6D" w:rsidRDefault="00AE152E">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2C06B891" wp14:editId="7FBCC039">
          <wp:simplePos x="0" y="0"/>
          <wp:positionH relativeFrom="column">
            <wp:posOffset>-960754</wp:posOffset>
          </wp:positionH>
          <wp:positionV relativeFrom="paragraph">
            <wp:posOffset>-447674</wp:posOffset>
          </wp:positionV>
          <wp:extent cx="7828220" cy="1085850"/>
          <wp:effectExtent l="0" t="0" r="0" b="0"/>
          <wp:wrapNone/>
          <wp:docPr id="154397090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3970906"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28220" cy="10858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C06B893" wp14:editId="2E0BC4D9">
          <wp:simplePos x="0" y="0"/>
          <wp:positionH relativeFrom="column">
            <wp:posOffset>1</wp:posOffset>
          </wp:positionH>
          <wp:positionV relativeFrom="paragraph">
            <wp:posOffset>-209549</wp:posOffset>
          </wp:positionV>
          <wp:extent cx="2101215" cy="584200"/>
          <wp:effectExtent l="0" t="0" r="0" b="0"/>
          <wp:wrapNone/>
          <wp:docPr id="1543970904" name="image2.png" descr="NPDN logo"/>
          <wp:cNvGraphicFramePr/>
          <a:graphic xmlns:a="http://schemas.openxmlformats.org/drawingml/2006/main">
            <a:graphicData uri="http://schemas.openxmlformats.org/drawingml/2006/picture">
              <pic:pic xmlns:pic="http://schemas.openxmlformats.org/drawingml/2006/picture">
                <pic:nvPicPr>
                  <pic:cNvPr id="1543970904" name="image2.png" descr="NPDN logo"/>
                  <pic:cNvPicPr preferRelativeResize="0"/>
                </pic:nvPicPr>
                <pic:blipFill>
                  <a:blip r:embed="rId2"/>
                  <a:srcRect/>
                  <a:stretch>
                    <a:fillRect/>
                  </a:stretch>
                </pic:blipFill>
                <pic:spPr>
                  <a:xfrm>
                    <a:off x="0" y="0"/>
                    <a:ext cx="2101215" cy="584200"/>
                  </a:xfrm>
                  <a:prstGeom prst="rect">
                    <a:avLst/>
                  </a:prstGeom>
                  <a:ln/>
                </pic:spPr>
              </pic:pic>
            </a:graphicData>
          </a:graphic>
        </wp:anchor>
      </w:drawing>
    </w:r>
  </w:p>
  <w:p w14:paraId="2C06B88F" w14:textId="77777777" w:rsidR="00A75D6D" w:rsidRDefault="00A75D6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91D3A"/>
    <w:multiLevelType w:val="multilevel"/>
    <w:tmpl w:val="55366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7F7D48"/>
    <w:multiLevelType w:val="multilevel"/>
    <w:tmpl w:val="0E7648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28142915">
    <w:abstractNumId w:val="0"/>
  </w:num>
  <w:num w:numId="2" w16cid:durableId="252520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D6D"/>
    <w:rsid w:val="00047969"/>
    <w:rsid w:val="000730DA"/>
    <w:rsid w:val="000A1D42"/>
    <w:rsid w:val="000A4594"/>
    <w:rsid w:val="000A7E29"/>
    <w:rsid w:val="000B1A7A"/>
    <w:rsid w:val="000B23F4"/>
    <w:rsid w:val="000B57DA"/>
    <w:rsid w:val="000C309F"/>
    <w:rsid w:val="00117F13"/>
    <w:rsid w:val="001433E0"/>
    <w:rsid w:val="00146952"/>
    <w:rsid w:val="001722CF"/>
    <w:rsid w:val="0018386F"/>
    <w:rsid w:val="001B37FD"/>
    <w:rsid w:val="001D03A0"/>
    <w:rsid w:val="001F2608"/>
    <w:rsid w:val="001F3E4B"/>
    <w:rsid w:val="00227FC4"/>
    <w:rsid w:val="002334A7"/>
    <w:rsid w:val="00233E8A"/>
    <w:rsid w:val="002552A9"/>
    <w:rsid w:val="0025713A"/>
    <w:rsid w:val="00264895"/>
    <w:rsid w:val="00264D37"/>
    <w:rsid w:val="00273661"/>
    <w:rsid w:val="002818B4"/>
    <w:rsid w:val="0028248E"/>
    <w:rsid w:val="002B179F"/>
    <w:rsid w:val="002B3AD7"/>
    <w:rsid w:val="002C1F20"/>
    <w:rsid w:val="002C65F3"/>
    <w:rsid w:val="002D598D"/>
    <w:rsid w:val="002E44CA"/>
    <w:rsid w:val="00332398"/>
    <w:rsid w:val="003542CF"/>
    <w:rsid w:val="00371A10"/>
    <w:rsid w:val="003B539E"/>
    <w:rsid w:val="003E6FCD"/>
    <w:rsid w:val="003F6A86"/>
    <w:rsid w:val="003F748A"/>
    <w:rsid w:val="00401C4E"/>
    <w:rsid w:val="004046E2"/>
    <w:rsid w:val="004372E2"/>
    <w:rsid w:val="00466F27"/>
    <w:rsid w:val="004703F9"/>
    <w:rsid w:val="00484E72"/>
    <w:rsid w:val="004911D2"/>
    <w:rsid w:val="004925CB"/>
    <w:rsid w:val="004B0E14"/>
    <w:rsid w:val="004B2CBC"/>
    <w:rsid w:val="004B69F0"/>
    <w:rsid w:val="004B741C"/>
    <w:rsid w:val="004D7A90"/>
    <w:rsid w:val="004E355F"/>
    <w:rsid w:val="00514158"/>
    <w:rsid w:val="00541241"/>
    <w:rsid w:val="005460D8"/>
    <w:rsid w:val="00571B06"/>
    <w:rsid w:val="005B5A9B"/>
    <w:rsid w:val="005E78B0"/>
    <w:rsid w:val="005F5B75"/>
    <w:rsid w:val="005F665F"/>
    <w:rsid w:val="00607A93"/>
    <w:rsid w:val="0062447A"/>
    <w:rsid w:val="00632419"/>
    <w:rsid w:val="00672AB8"/>
    <w:rsid w:val="00685663"/>
    <w:rsid w:val="006A6174"/>
    <w:rsid w:val="006B2D01"/>
    <w:rsid w:val="006F3001"/>
    <w:rsid w:val="0071031A"/>
    <w:rsid w:val="007123C2"/>
    <w:rsid w:val="00717582"/>
    <w:rsid w:val="00733C3B"/>
    <w:rsid w:val="007558A5"/>
    <w:rsid w:val="00773A66"/>
    <w:rsid w:val="0077771B"/>
    <w:rsid w:val="00777F17"/>
    <w:rsid w:val="00793493"/>
    <w:rsid w:val="00795B56"/>
    <w:rsid w:val="00796FE4"/>
    <w:rsid w:val="007B66D9"/>
    <w:rsid w:val="007C2DF6"/>
    <w:rsid w:val="007D4F38"/>
    <w:rsid w:val="00813260"/>
    <w:rsid w:val="008171B9"/>
    <w:rsid w:val="00825F4B"/>
    <w:rsid w:val="00885E02"/>
    <w:rsid w:val="008921CB"/>
    <w:rsid w:val="0089626B"/>
    <w:rsid w:val="008B1331"/>
    <w:rsid w:val="008B437A"/>
    <w:rsid w:val="008B4A21"/>
    <w:rsid w:val="008E57F6"/>
    <w:rsid w:val="008F58C9"/>
    <w:rsid w:val="0090172A"/>
    <w:rsid w:val="009261E7"/>
    <w:rsid w:val="00947EDD"/>
    <w:rsid w:val="00966C2D"/>
    <w:rsid w:val="0098676A"/>
    <w:rsid w:val="009A59FE"/>
    <w:rsid w:val="009A610E"/>
    <w:rsid w:val="009B430F"/>
    <w:rsid w:val="009E55CC"/>
    <w:rsid w:val="00A208D0"/>
    <w:rsid w:val="00A20ED5"/>
    <w:rsid w:val="00A75D6D"/>
    <w:rsid w:val="00A8088A"/>
    <w:rsid w:val="00AE152E"/>
    <w:rsid w:val="00AE16A1"/>
    <w:rsid w:val="00AF3170"/>
    <w:rsid w:val="00B01403"/>
    <w:rsid w:val="00B05EAB"/>
    <w:rsid w:val="00B13943"/>
    <w:rsid w:val="00B33A7A"/>
    <w:rsid w:val="00B37EB2"/>
    <w:rsid w:val="00B4075B"/>
    <w:rsid w:val="00B45DEE"/>
    <w:rsid w:val="00B70476"/>
    <w:rsid w:val="00B7095E"/>
    <w:rsid w:val="00B870B6"/>
    <w:rsid w:val="00B94986"/>
    <w:rsid w:val="00BB2C48"/>
    <w:rsid w:val="00BB32AB"/>
    <w:rsid w:val="00BC4122"/>
    <w:rsid w:val="00BD1C94"/>
    <w:rsid w:val="00BE661D"/>
    <w:rsid w:val="00C02D87"/>
    <w:rsid w:val="00C05710"/>
    <w:rsid w:val="00C11114"/>
    <w:rsid w:val="00C15418"/>
    <w:rsid w:val="00C44D6F"/>
    <w:rsid w:val="00C50F6C"/>
    <w:rsid w:val="00C52FE4"/>
    <w:rsid w:val="00C90320"/>
    <w:rsid w:val="00CA2735"/>
    <w:rsid w:val="00D00310"/>
    <w:rsid w:val="00D0342A"/>
    <w:rsid w:val="00D71FAC"/>
    <w:rsid w:val="00D81C94"/>
    <w:rsid w:val="00D8439C"/>
    <w:rsid w:val="00DD283C"/>
    <w:rsid w:val="00E0333B"/>
    <w:rsid w:val="00E17197"/>
    <w:rsid w:val="00E2518B"/>
    <w:rsid w:val="00E270F9"/>
    <w:rsid w:val="00E47C3C"/>
    <w:rsid w:val="00E66DE5"/>
    <w:rsid w:val="00E76176"/>
    <w:rsid w:val="00E77363"/>
    <w:rsid w:val="00EA18F7"/>
    <w:rsid w:val="00EA7B60"/>
    <w:rsid w:val="00EB34EC"/>
    <w:rsid w:val="00EB55E1"/>
    <w:rsid w:val="00ED5329"/>
    <w:rsid w:val="00ED7032"/>
    <w:rsid w:val="00EE3E90"/>
    <w:rsid w:val="00F14D02"/>
    <w:rsid w:val="00F36F91"/>
    <w:rsid w:val="00F62E59"/>
    <w:rsid w:val="00F954D4"/>
    <w:rsid w:val="00FB7438"/>
    <w:rsid w:val="00FD0BF7"/>
    <w:rsid w:val="00FE7452"/>
    <w:rsid w:val="00FF08B6"/>
    <w:rsid w:val="00FF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6B7E9"/>
  <w15:docId w15:val="{C3F60BE3-D752-4874-9696-3BC00156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lang w:val="en"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7F13"/>
    <w:pPr>
      <w:keepNext/>
      <w:pBdr>
        <w:top w:val="single" w:sz="24" w:space="0" w:color="819837"/>
        <w:left w:val="single" w:sz="24" w:space="0" w:color="819837"/>
        <w:bottom w:val="single" w:sz="24" w:space="0" w:color="819837"/>
        <w:right w:val="single" w:sz="24" w:space="0" w:color="819837"/>
      </w:pBdr>
      <w:shd w:val="clear" w:color="auto" w:fill="819837"/>
      <w:spacing w:after="0"/>
      <w:outlineLvl w:val="0"/>
    </w:pPr>
    <w:rPr>
      <w:smallCaps/>
      <w:color w:val="2E2B21" w:themeColor="text1"/>
      <w:sz w:val="28"/>
      <w:szCs w:val="22"/>
    </w:rPr>
  </w:style>
  <w:style w:type="paragraph" w:styleId="Heading2">
    <w:name w:val="heading 2"/>
    <w:basedOn w:val="Normal"/>
    <w:next w:val="Normal"/>
    <w:link w:val="Heading2Char"/>
    <w:uiPriority w:val="9"/>
    <w:unhideWhenUsed/>
    <w:qFormat/>
    <w:rsid w:val="004B0E14"/>
    <w:pPr>
      <w:keepNext/>
      <w:pBdr>
        <w:top w:val="single" w:sz="24" w:space="0" w:color="E8EED2"/>
        <w:left w:val="single" w:sz="24" w:space="0" w:color="E8EED2"/>
        <w:bottom w:val="single" w:sz="24" w:space="0" w:color="E8EED2"/>
        <w:right w:val="single" w:sz="24" w:space="0" w:color="E8EED2"/>
      </w:pBdr>
      <w:shd w:val="clear" w:color="auto" w:fill="E8EED2"/>
      <w:spacing w:after="0"/>
      <w:outlineLvl w:val="1"/>
    </w:pPr>
    <w:rPr>
      <w:smallCaps/>
      <w:sz w:val="28"/>
    </w:rPr>
  </w:style>
  <w:style w:type="paragraph" w:styleId="Heading3">
    <w:name w:val="heading 3"/>
    <w:basedOn w:val="Normal"/>
    <w:next w:val="Normal"/>
    <w:link w:val="Heading3Char"/>
    <w:uiPriority w:val="9"/>
    <w:unhideWhenUsed/>
    <w:qFormat/>
    <w:rsid w:val="00C90320"/>
    <w:pPr>
      <w:keepNext/>
      <w:pBdr>
        <w:top w:val="single" w:sz="6" w:space="2" w:color="819837"/>
      </w:pBdr>
      <w:spacing w:before="300" w:after="0"/>
      <w:outlineLvl w:val="2"/>
    </w:pPr>
    <w:rPr>
      <w:smallCaps/>
      <w:color w:val="404B1B"/>
      <w:sz w:val="24"/>
    </w:rPr>
  </w:style>
  <w:style w:type="paragraph" w:styleId="Heading4">
    <w:name w:val="heading 4"/>
    <w:basedOn w:val="Normal"/>
    <w:next w:val="Normal"/>
    <w:link w:val="Heading4Char"/>
    <w:uiPriority w:val="9"/>
    <w:semiHidden/>
    <w:unhideWhenUsed/>
    <w:qFormat/>
    <w:pPr>
      <w:pBdr>
        <w:top w:val="dotted" w:sz="6" w:space="2" w:color="819837"/>
      </w:pBdr>
      <w:spacing w:before="200" w:after="0"/>
      <w:outlineLvl w:val="3"/>
    </w:pPr>
    <w:rPr>
      <w:smallCaps/>
      <w:color w:val="607129"/>
    </w:rPr>
  </w:style>
  <w:style w:type="paragraph" w:styleId="Heading5">
    <w:name w:val="heading 5"/>
    <w:basedOn w:val="Normal"/>
    <w:next w:val="Normal"/>
    <w:link w:val="Heading5Char"/>
    <w:uiPriority w:val="9"/>
    <w:semiHidden/>
    <w:unhideWhenUsed/>
    <w:qFormat/>
    <w:pPr>
      <w:pBdr>
        <w:bottom w:val="single" w:sz="6" w:space="1" w:color="819837"/>
      </w:pBdr>
      <w:spacing w:before="200" w:after="0"/>
      <w:outlineLvl w:val="4"/>
    </w:pPr>
    <w:rPr>
      <w:smallCaps/>
      <w:color w:val="607129"/>
    </w:rPr>
  </w:style>
  <w:style w:type="paragraph" w:styleId="Heading6">
    <w:name w:val="heading 6"/>
    <w:basedOn w:val="Normal"/>
    <w:next w:val="Normal"/>
    <w:link w:val="Heading6Char"/>
    <w:uiPriority w:val="9"/>
    <w:semiHidden/>
    <w:unhideWhenUsed/>
    <w:qFormat/>
    <w:pPr>
      <w:pBdr>
        <w:bottom w:val="dotted" w:sz="6" w:space="1" w:color="819837"/>
      </w:pBdr>
      <w:spacing w:before="200" w:after="0"/>
      <w:outlineLvl w:val="5"/>
    </w:pPr>
    <w:rPr>
      <w:smallCaps/>
      <w:color w:val="607129"/>
    </w:rPr>
  </w:style>
  <w:style w:type="paragraph" w:styleId="Heading7">
    <w:name w:val="heading 7"/>
    <w:basedOn w:val="Normal"/>
    <w:next w:val="Normal"/>
    <w:link w:val="Heading7Char"/>
    <w:uiPriority w:val="9"/>
    <w:semiHidden/>
    <w:unhideWhenUsed/>
    <w:qFormat/>
    <w:rsid w:val="002535C5"/>
    <w:pPr>
      <w:spacing w:before="200" w:after="0"/>
      <w:outlineLvl w:val="6"/>
    </w:pPr>
    <w:rPr>
      <w:caps/>
      <w:color w:val="A8CC31" w:themeColor="accent1" w:themeShade="BF"/>
      <w:spacing w:val="10"/>
    </w:rPr>
  </w:style>
  <w:style w:type="paragraph" w:styleId="Heading8">
    <w:name w:val="heading 8"/>
    <w:basedOn w:val="Normal"/>
    <w:next w:val="Normal"/>
    <w:link w:val="Heading8Char"/>
    <w:uiPriority w:val="9"/>
    <w:semiHidden/>
    <w:unhideWhenUsed/>
    <w:qFormat/>
    <w:rsid w:val="002535C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535C5"/>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0" w:after="0"/>
    </w:pPr>
    <w:rPr>
      <w:smallCaps/>
      <w:color w:val="819837"/>
      <w:sz w:val="52"/>
      <w:szCs w:val="52"/>
    </w:rPr>
  </w:style>
  <w:style w:type="paragraph" w:styleId="ListParagraph">
    <w:name w:val="List Paragraph"/>
    <w:basedOn w:val="Normal"/>
    <w:uiPriority w:val="34"/>
    <w:qFormat/>
    <w:rsid w:val="00AF7413"/>
    <w:pPr>
      <w:ind w:left="720"/>
      <w:contextualSpacing/>
    </w:pPr>
  </w:style>
  <w:style w:type="paragraph" w:styleId="Header">
    <w:name w:val="header"/>
    <w:basedOn w:val="Normal"/>
    <w:link w:val="HeaderChar"/>
    <w:uiPriority w:val="99"/>
    <w:unhideWhenUsed/>
    <w:rsid w:val="00AF7E33"/>
    <w:pPr>
      <w:tabs>
        <w:tab w:val="center" w:pos="4680"/>
        <w:tab w:val="right" w:pos="9360"/>
      </w:tabs>
    </w:pPr>
  </w:style>
  <w:style w:type="character" w:customStyle="1" w:styleId="HeaderChar">
    <w:name w:val="Header Char"/>
    <w:basedOn w:val="DefaultParagraphFont"/>
    <w:link w:val="Header"/>
    <w:uiPriority w:val="99"/>
    <w:rsid w:val="00AF7E33"/>
  </w:style>
  <w:style w:type="paragraph" w:styleId="Footer">
    <w:name w:val="footer"/>
    <w:basedOn w:val="Normal"/>
    <w:link w:val="FooterChar"/>
    <w:uiPriority w:val="99"/>
    <w:unhideWhenUsed/>
    <w:rsid w:val="00AF7E33"/>
    <w:pPr>
      <w:tabs>
        <w:tab w:val="center" w:pos="4680"/>
        <w:tab w:val="right" w:pos="9360"/>
      </w:tabs>
    </w:pPr>
  </w:style>
  <w:style w:type="character" w:customStyle="1" w:styleId="FooterChar">
    <w:name w:val="Footer Char"/>
    <w:basedOn w:val="DefaultParagraphFont"/>
    <w:link w:val="Footer"/>
    <w:uiPriority w:val="99"/>
    <w:rsid w:val="00AF7E33"/>
  </w:style>
  <w:style w:type="paragraph" w:styleId="BalloonText">
    <w:name w:val="Balloon Text"/>
    <w:basedOn w:val="Normal"/>
    <w:link w:val="BalloonTextChar"/>
    <w:uiPriority w:val="99"/>
    <w:semiHidden/>
    <w:unhideWhenUsed/>
    <w:rsid w:val="006E03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3DF"/>
    <w:rPr>
      <w:rFonts w:ascii="Segoe UI" w:hAnsi="Segoe UI" w:cs="Segoe UI"/>
      <w:sz w:val="18"/>
      <w:szCs w:val="18"/>
    </w:rPr>
  </w:style>
  <w:style w:type="character" w:styleId="Hyperlink">
    <w:name w:val="Hyperlink"/>
    <w:basedOn w:val="DefaultParagraphFont"/>
    <w:uiPriority w:val="99"/>
    <w:semiHidden/>
    <w:unhideWhenUsed/>
    <w:rsid w:val="008147AE"/>
    <w:rPr>
      <w:color w:val="0000FF"/>
      <w:u w:val="single"/>
    </w:rPr>
  </w:style>
  <w:style w:type="character" w:customStyle="1" w:styleId="Heading1Char">
    <w:name w:val="Heading 1 Char"/>
    <w:basedOn w:val="DefaultParagraphFont"/>
    <w:link w:val="Heading1"/>
    <w:uiPriority w:val="9"/>
    <w:rsid w:val="00117F13"/>
    <w:rPr>
      <w:smallCaps/>
      <w:color w:val="2E2B21" w:themeColor="text1"/>
      <w:sz w:val="28"/>
      <w:szCs w:val="22"/>
      <w:shd w:val="clear" w:color="auto" w:fill="819837"/>
    </w:rPr>
  </w:style>
  <w:style w:type="character" w:customStyle="1" w:styleId="Heading2Char">
    <w:name w:val="Heading 2 Char"/>
    <w:basedOn w:val="DefaultParagraphFont"/>
    <w:link w:val="Heading2"/>
    <w:uiPriority w:val="9"/>
    <w:rsid w:val="004B0E14"/>
    <w:rPr>
      <w:smallCaps/>
      <w:sz w:val="28"/>
      <w:shd w:val="clear" w:color="auto" w:fill="E8EED2"/>
    </w:rPr>
  </w:style>
  <w:style w:type="character" w:customStyle="1" w:styleId="Heading3Char">
    <w:name w:val="Heading 3 Char"/>
    <w:basedOn w:val="DefaultParagraphFont"/>
    <w:link w:val="Heading3"/>
    <w:uiPriority w:val="9"/>
    <w:rsid w:val="00C90320"/>
    <w:rPr>
      <w:smallCaps/>
      <w:color w:val="404B1B"/>
      <w:sz w:val="24"/>
    </w:rPr>
  </w:style>
  <w:style w:type="character" w:customStyle="1" w:styleId="Heading4Char">
    <w:name w:val="Heading 4 Char"/>
    <w:basedOn w:val="DefaultParagraphFont"/>
    <w:link w:val="Heading4"/>
    <w:uiPriority w:val="9"/>
    <w:semiHidden/>
    <w:rsid w:val="002535C5"/>
    <w:rPr>
      <w:caps/>
      <w:color w:val="A8CC31" w:themeColor="accent1" w:themeShade="BF"/>
      <w:spacing w:val="10"/>
    </w:rPr>
  </w:style>
  <w:style w:type="character" w:customStyle="1" w:styleId="Heading5Char">
    <w:name w:val="Heading 5 Char"/>
    <w:basedOn w:val="DefaultParagraphFont"/>
    <w:link w:val="Heading5"/>
    <w:uiPriority w:val="9"/>
    <w:semiHidden/>
    <w:rsid w:val="002535C5"/>
    <w:rPr>
      <w:caps/>
      <w:color w:val="A8CC31" w:themeColor="accent1" w:themeShade="BF"/>
      <w:spacing w:val="10"/>
    </w:rPr>
  </w:style>
  <w:style w:type="character" w:customStyle="1" w:styleId="Heading6Char">
    <w:name w:val="Heading 6 Char"/>
    <w:basedOn w:val="DefaultParagraphFont"/>
    <w:link w:val="Heading6"/>
    <w:uiPriority w:val="9"/>
    <w:semiHidden/>
    <w:rsid w:val="002535C5"/>
    <w:rPr>
      <w:caps/>
      <w:color w:val="A8CC31" w:themeColor="accent1" w:themeShade="BF"/>
      <w:spacing w:val="10"/>
    </w:rPr>
  </w:style>
  <w:style w:type="character" w:customStyle="1" w:styleId="Heading7Char">
    <w:name w:val="Heading 7 Char"/>
    <w:basedOn w:val="DefaultParagraphFont"/>
    <w:link w:val="Heading7"/>
    <w:uiPriority w:val="9"/>
    <w:semiHidden/>
    <w:rsid w:val="002535C5"/>
    <w:rPr>
      <w:caps/>
      <w:color w:val="A8CC31" w:themeColor="accent1" w:themeShade="BF"/>
      <w:spacing w:val="10"/>
    </w:rPr>
  </w:style>
  <w:style w:type="character" w:customStyle="1" w:styleId="Heading8Char">
    <w:name w:val="Heading 8 Char"/>
    <w:basedOn w:val="DefaultParagraphFont"/>
    <w:link w:val="Heading8"/>
    <w:uiPriority w:val="9"/>
    <w:semiHidden/>
    <w:rsid w:val="002535C5"/>
    <w:rPr>
      <w:caps/>
      <w:spacing w:val="10"/>
      <w:sz w:val="18"/>
      <w:szCs w:val="18"/>
    </w:rPr>
  </w:style>
  <w:style w:type="character" w:customStyle="1" w:styleId="Heading9Char">
    <w:name w:val="Heading 9 Char"/>
    <w:basedOn w:val="DefaultParagraphFont"/>
    <w:link w:val="Heading9"/>
    <w:uiPriority w:val="9"/>
    <w:semiHidden/>
    <w:rsid w:val="002535C5"/>
    <w:rPr>
      <w:i/>
      <w:iCs/>
      <w:caps/>
      <w:spacing w:val="10"/>
      <w:sz w:val="18"/>
      <w:szCs w:val="18"/>
    </w:rPr>
  </w:style>
  <w:style w:type="paragraph" w:styleId="Caption">
    <w:name w:val="caption"/>
    <w:basedOn w:val="Normal"/>
    <w:next w:val="Normal"/>
    <w:uiPriority w:val="35"/>
    <w:unhideWhenUsed/>
    <w:qFormat/>
    <w:rsid w:val="007E185A"/>
    <w:pPr>
      <w:spacing w:line="240" w:lineRule="auto"/>
      <w:jc w:val="center"/>
    </w:pPr>
    <w:rPr>
      <w:b/>
      <w:bCs/>
      <w:color w:val="A8CC31" w:themeColor="accent1" w:themeShade="BF"/>
      <w:szCs w:val="16"/>
    </w:rPr>
  </w:style>
  <w:style w:type="character" w:customStyle="1" w:styleId="TitleChar">
    <w:name w:val="Title Char"/>
    <w:basedOn w:val="DefaultParagraphFont"/>
    <w:link w:val="Title"/>
    <w:uiPriority w:val="10"/>
    <w:rsid w:val="002535C5"/>
    <w:rPr>
      <w:rFonts w:asciiTheme="majorHAnsi" w:eastAsiaTheme="majorEastAsia" w:hAnsiTheme="majorHAnsi" w:cstheme="majorBidi"/>
      <w:caps/>
      <w:color w:val="C6DE75" w:themeColor="accent1"/>
      <w:spacing w:val="10"/>
      <w:sz w:val="52"/>
      <w:szCs w:val="52"/>
    </w:rPr>
  </w:style>
  <w:style w:type="character" w:customStyle="1" w:styleId="SubtitleChar">
    <w:name w:val="Subtitle Char"/>
    <w:basedOn w:val="DefaultParagraphFont"/>
    <w:link w:val="Subtitle"/>
    <w:uiPriority w:val="11"/>
    <w:rsid w:val="002535C5"/>
    <w:rPr>
      <w:caps/>
      <w:color w:val="857C60" w:themeColor="text1" w:themeTint="A6"/>
      <w:spacing w:val="10"/>
      <w:sz w:val="21"/>
      <w:szCs w:val="21"/>
    </w:rPr>
  </w:style>
  <w:style w:type="character" w:styleId="Strong">
    <w:name w:val="Strong"/>
    <w:uiPriority w:val="22"/>
    <w:qFormat/>
    <w:rsid w:val="002535C5"/>
    <w:rPr>
      <w:b/>
      <w:bCs/>
    </w:rPr>
  </w:style>
  <w:style w:type="character" w:styleId="Emphasis">
    <w:name w:val="Emphasis"/>
    <w:uiPriority w:val="20"/>
    <w:qFormat/>
    <w:rsid w:val="002535C5"/>
    <w:rPr>
      <w:caps/>
      <w:color w:val="708820" w:themeColor="accent1" w:themeShade="7F"/>
      <w:spacing w:val="5"/>
    </w:rPr>
  </w:style>
  <w:style w:type="paragraph" w:styleId="NoSpacing">
    <w:name w:val="No Spacing"/>
    <w:uiPriority w:val="1"/>
    <w:qFormat/>
    <w:rsid w:val="002535C5"/>
    <w:pPr>
      <w:spacing w:after="0" w:line="240" w:lineRule="auto"/>
    </w:pPr>
  </w:style>
  <w:style w:type="paragraph" w:styleId="Quote">
    <w:name w:val="Quote"/>
    <w:basedOn w:val="Normal"/>
    <w:next w:val="Normal"/>
    <w:link w:val="QuoteChar"/>
    <w:uiPriority w:val="29"/>
    <w:qFormat/>
    <w:rsid w:val="00BA7B87"/>
    <w:pPr>
      <w:pBdr>
        <w:top w:val="single" w:sz="6" w:space="1" w:color="C6DE75" w:themeColor="accent1"/>
        <w:bottom w:val="single" w:sz="6" w:space="1" w:color="C6DE75" w:themeColor="accent1"/>
      </w:pBdr>
      <w:spacing w:before="120" w:after="120"/>
      <w:ind w:left="720" w:right="720"/>
    </w:pPr>
    <w:rPr>
      <w:i/>
      <w:iCs/>
      <w:color w:val="000000"/>
      <w:szCs w:val="24"/>
    </w:rPr>
  </w:style>
  <w:style w:type="character" w:customStyle="1" w:styleId="QuoteChar">
    <w:name w:val="Quote Char"/>
    <w:basedOn w:val="DefaultParagraphFont"/>
    <w:link w:val="Quote"/>
    <w:uiPriority w:val="29"/>
    <w:rsid w:val="00BA7B87"/>
    <w:rPr>
      <w:i/>
      <w:iCs/>
      <w:color w:val="000000"/>
      <w:sz w:val="24"/>
      <w:szCs w:val="24"/>
    </w:rPr>
  </w:style>
  <w:style w:type="paragraph" w:styleId="IntenseQuote">
    <w:name w:val="Intense Quote"/>
    <w:basedOn w:val="Normal"/>
    <w:next w:val="Normal"/>
    <w:link w:val="IntenseQuoteChar"/>
    <w:uiPriority w:val="30"/>
    <w:qFormat/>
    <w:rsid w:val="002535C5"/>
    <w:pPr>
      <w:spacing w:before="240" w:after="240" w:line="240" w:lineRule="auto"/>
      <w:ind w:left="1080" w:right="1080"/>
      <w:jc w:val="center"/>
    </w:pPr>
    <w:rPr>
      <w:color w:val="C6DE75" w:themeColor="accent1"/>
      <w:szCs w:val="24"/>
    </w:rPr>
  </w:style>
  <w:style w:type="character" w:customStyle="1" w:styleId="IntenseQuoteChar">
    <w:name w:val="Intense Quote Char"/>
    <w:basedOn w:val="DefaultParagraphFont"/>
    <w:link w:val="IntenseQuote"/>
    <w:uiPriority w:val="30"/>
    <w:rsid w:val="002535C5"/>
    <w:rPr>
      <w:color w:val="C6DE75" w:themeColor="accent1"/>
      <w:sz w:val="24"/>
      <w:szCs w:val="24"/>
    </w:rPr>
  </w:style>
  <w:style w:type="character" w:styleId="SubtleEmphasis">
    <w:name w:val="Subtle Emphasis"/>
    <w:uiPriority w:val="19"/>
    <w:qFormat/>
    <w:rsid w:val="002535C5"/>
    <w:rPr>
      <w:i/>
      <w:iCs/>
      <w:color w:val="708820" w:themeColor="accent1" w:themeShade="7F"/>
    </w:rPr>
  </w:style>
  <w:style w:type="character" w:styleId="IntenseEmphasis">
    <w:name w:val="Intense Emphasis"/>
    <w:uiPriority w:val="21"/>
    <w:qFormat/>
    <w:rsid w:val="002535C5"/>
    <w:rPr>
      <w:b/>
      <w:bCs/>
      <w:caps/>
      <w:color w:val="708820" w:themeColor="accent1" w:themeShade="7F"/>
      <w:spacing w:val="10"/>
    </w:rPr>
  </w:style>
  <w:style w:type="character" w:styleId="SubtleReference">
    <w:name w:val="Subtle Reference"/>
    <w:uiPriority w:val="31"/>
    <w:qFormat/>
    <w:rsid w:val="002535C5"/>
    <w:rPr>
      <w:b/>
      <w:bCs/>
      <w:color w:val="C6DE75" w:themeColor="accent1"/>
    </w:rPr>
  </w:style>
  <w:style w:type="character" w:styleId="IntenseReference">
    <w:name w:val="Intense Reference"/>
    <w:uiPriority w:val="32"/>
    <w:qFormat/>
    <w:rsid w:val="002535C5"/>
    <w:rPr>
      <w:b/>
      <w:bCs/>
      <w:i/>
      <w:iCs/>
      <w:caps/>
      <w:color w:val="C6DE75" w:themeColor="accent1"/>
    </w:rPr>
  </w:style>
  <w:style w:type="character" w:styleId="BookTitle">
    <w:name w:val="Book Title"/>
    <w:uiPriority w:val="33"/>
    <w:qFormat/>
    <w:rsid w:val="002535C5"/>
    <w:rPr>
      <w:b/>
      <w:bCs/>
      <w:i/>
      <w:iCs/>
      <w:spacing w:val="0"/>
    </w:rPr>
  </w:style>
  <w:style w:type="paragraph" w:styleId="TOCHeading">
    <w:name w:val="TOC Heading"/>
    <w:basedOn w:val="Heading1"/>
    <w:next w:val="Normal"/>
    <w:uiPriority w:val="39"/>
    <w:semiHidden/>
    <w:unhideWhenUsed/>
    <w:qFormat/>
    <w:rsid w:val="002535C5"/>
    <w:pPr>
      <w:outlineLvl w:val="9"/>
    </w:pPr>
  </w:style>
  <w:style w:type="paragraph" w:styleId="Revision">
    <w:name w:val="Revision"/>
    <w:hidden/>
    <w:uiPriority w:val="99"/>
    <w:semiHidden/>
    <w:rsid w:val="0071000C"/>
    <w:pPr>
      <w:spacing w:before="0" w:after="0" w:line="240" w:lineRule="auto"/>
    </w:pPr>
    <w:rPr>
      <w:sz w:val="24"/>
    </w:rPr>
  </w:style>
  <w:style w:type="character" w:styleId="CommentReference">
    <w:name w:val="annotation reference"/>
    <w:basedOn w:val="DefaultParagraphFont"/>
    <w:uiPriority w:val="99"/>
    <w:semiHidden/>
    <w:unhideWhenUsed/>
    <w:rsid w:val="006B65BB"/>
    <w:rPr>
      <w:sz w:val="16"/>
      <w:szCs w:val="16"/>
    </w:rPr>
  </w:style>
  <w:style w:type="paragraph" w:styleId="CommentText">
    <w:name w:val="annotation text"/>
    <w:basedOn w:val="Normal"/>
    <w:link w:val="CommentTextChar"/>
    <w:uiPriority w:val="99"/>
    <w:unhideWhenUsed/>
    <w:rsid w:val="006B65BB"/>
    <w:pPr>
      <w:spacing w:line="240" w:lineRule="auto"/>
    </w:pPr>
  </w:style>
  <w:style w:type="character" w:customStyle="1" w:styleId="CommentTextChar">
    <w:name w:val="Comment Text Char"/>
    <w:basedOn w:val="DefaultParagraphFont"/>
    <w:link w:val="CommentText"/>
    <w:uiPriority w:val="99"/>
    <w:rsid w:val="006B65BB"/>
  </w:style>
  <w:style w:type="paragraph" w:styleId="CommentSubject">
    <w:name w:val="annotation subject"/>
    <w:basedOn w:val="CommentText"/>
    <w:next w:val="CommentText"/>
    <w:link w:val="CommentSubjectChar"/>
    <w:uiPriority w:val="99"/>
    <w:semiHidden/>
    <w:unhideWhenUsed/>
    <w:rsid w:val="006B65BB"/>
    <w:rPr>
      <w:b/>
      <w:bCs/>
    </w:rPr>
  </w:style>
  <w:style w:type="character" w:customStyle="1" w:styleId="CommentSubjectChar">
    <w:name w:val="Comment Subject Char"/>
    <w:basedOn w:val="CommentTextChar"/>
    <w:link w:val="CommentSubject"/>
    <w:uiPriority w:val="99"/>
    <w:semiHidden/>
    <w:rsid w:val="006B65BB"/>
    <w:rPr>
      <w:b/>
      <w:bCs/>
    </w:rPr>
  </w:style>
  <w:style w:type="character" w:styleId="PlaceholderText">
    <w:name w:val="Placeholder Text"/>
    <w:basedOn w:val="DefaultParagraphFont"/>
    <w:uiPriority w:val="99"/>
    <w:semiHidden/>
    <w:rsid w:val="00963527"/>
    <w:rPr>
      <w:color w:val="666666"/>
    </w:rPr>
  </w:style>
  <w:style w:type="paragraph" w:styleId="BodyText">
    <w:name w:val="Body Text"/>
    <w:basedOn w:val="Normal"/>
    <w:link w:val="BodyTextChar"/>
    <w:uiPriority w:val="1"/>
    <w:rsid w:val="00472315"/>
    <w:pPr>
      <w:spacing w:after="120" w:line="264" w:lineRule="auto"/>
    </w:pPr>
    <w:rPr>
      <w:rFonts w:ascii="Calibri" w:hAnsi="Calibri"/>
      <w:sz w:val="24"/>
      <w:szCs w:val="24"/>
    </w:rPr>
  </w:style>
  <w:style w:type="character" w:customStyle="1" w:styleId="BodyTextChar">
    <w:name w:val="Body Text Char"/>
    <w:basedOn w:val="DefaultParagraphFont"/>
    <w:link w:val="BodyText"/>
    <w:uiPriority w:val="1"/>
    <w:rsid w:val="00472315"/>
    <w:rPr>
      <w:rFonts w:ascii="Calibri" w:hAnsi="Calibri"/>
      <w:sz w:val="24"/>
      <w:szCs w:val="24"/>
    </w:rPr>
  </w:style>
  <w:style w:type="character" w:customStyle="1" w:styleId="ui-provider">
    <w:name w:val="ui-provider"/>
    <w:basedOn w:val="DefaultParagraphFont"/>
    <w:rsid w:val="00472315"/>
  </w:style>
  <w:style w:type="paragraph" w:styleId="Subtitle">
    <w:name w:val="Subtitle"/>
    <w:basedOn w:val="Normal"/>
    <w:next w:val="Normal"/>
    <w:link w:val="SubtitleChar"/>
    <w:uiPriority w:val="11"/>
    <w:qFormat/>
    <w:pPr>
      <w:spacing w:before="0" w:after="500" w:line="240" w:lineRule="auto"/>
    </w:pPr>
    <w:rPr>
      <w:smallCaps/>
      <w:color w:val="857C60"/>
      <w:sz w:val="21"/>
      <w:szCs w:val="21"/>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4D7A9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Gallery">
  <a:themeElements>
    <a:clrScheme name="Custom 1">
      <a:dk1>
        <a:srgbClr val="2E2B21"/>
      </a:dk1>
      <a:lt1>
        <a:srgbClr val="FFFFFF"/>
      </a:lt1>
      <a:dk2>
        <a:srgbClr val="605B4F"/>
      </a:dk2>
      <a:lt2>
        <a:srgbClr val="D8D6BE"/>
      </a:lt2>
      <a:accent1>
        <a:srgbClr val="C6DE75"/>
      </a:accent1>
      <a:accent2>
        <a:srgbClr val="045184"/>
      </a:accent2>
      <a:accent3>
        <a:srgbClr val="C6DE75"/>
      </a:accent3>
      <a:accent4>
        <a:srgbClr val="AAAAAA"/>
      </a:accent4>
      <a:accent5>
        <a:srgbClr val="056AAD"/>
      </a:accent5>
      <a:accent6>
        <a:srgbClr val="0897F7"/>
      </a:accent6>
      <a:hlink>
        <a:srgbClr val="D25814"/>
      </a:hlink>
      <a:folHlink>
        <a:srgbClr val="849A0A"/>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ouB1knPgeBbw0u6OaoXsDgrUiA==">CgMxLjAaHwoBMBIaChgICVIUChJ0YWJsZS5hcjl5Zmt4dTBrd3cyDmguZWdkZHpxa2d2bjh3OAByITE2VUJiYVBmd281UE9welU4SEQ4cTJSN1UzWWEtQmNNSg==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7</Pages>
  <Words>1581</Words>
  <Characters>9427</Characters>
  <Application>Microsoft Office Word</Application>
  <DocSecurity>0</DocSecurity>
  <Lines>224</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Brenes-Arguedas</dc:creator>
  <cp:lastModifiedBy>Tania Brenes-Arguedas</cp:lastModifiedBy>
  <cp:revision>164</cp:revision>
  <dcterms:created xsi:type="dcterms:W3CDTF">2025-04-10T15:30:00Z</dcterms:created>
  <dcterms:modified xsi:type="dcterms:W3CDTF">2026-04-10T22:58:00Z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0x01010093F3B4E93A10FB4C931D8B74C279C78C</vt:lpwstr>
  </property>
  <property fmtid="{D5CDD505-2E9C-101B-9397-08002B2CF9AE}" pid="3" name="GrammarlyDocumentId">
    <vt:lpwstr>823d2490e0ddb0b9e0423910f08f5c2f14e6493d3158cde4893c35312d56eca7</vt:lpwstr>
  </property>
</Properties>
</file>